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3FF34" w14:textId="77777777" w:rsidR="00C33B17" w:rsidRPr="00890DC3" w:rsidRDefault="00C33B17" w:rsidP="00F16F8C">
      <w:pPr>
        <w:autoSpaceDE w:val="0"/>
        <w:autoSpaceDN w:val="0"/>
        <w:adjustRightInd w:val="0"/>
        <w:rPr>
          <w:b/>
          <w:bCs/>
        </w:rPr>
      </w:pPr>
    </w:p>
    <w:p w14:paraId="79E3FF35" w14:textId="77777777" w:rsidR="009C04BD" w:rsidRDefault="009C04BD" w:rsidP="009C04BD">
      <w:pPr>
        <w:autoSpaceDE w:val="0"/>
        <w:autoSpaceDN w:val="0"/>
        <w:adjustRightInd w:val="0"/>
        <w:jc w:val="center"/>
        <w:rPr>
          <w:b/>
          <w:bCs/>
        </w:rPr>
      </w:pPr>
      <w:r w:rsidRPr="00890DC3">
        <w:rPr>
          <w:b/>
          <w:bCs/>
        </w:rPr>
        <w:t>RESOLUTION NO. _______</w:t>
      </w:r>
    </w:p>
    <w:p w14:paraId="79E3FF36" w14:textId="77777777" w:rsidR="0028780A" w:rsidRPr="00890DC3" w:rsidRDefault="0028780A" w:rsidP="009C04BD">
      <w:pPr>
        <w:autoSpaceDE w:val="0"/>
        <w:autoSpaceDN w:val="0"/>
        <w:adjustRightInd w:val="0"/>
        <w:jc w:val="center"/>
        <w:rPr>
          <w:b/>
          <w:bCs/>
        </w:rPr>
      </w:pPr>
    </w:p>
    <w:p w14:paraId="79E3FF38" w14:textId="3B6FBB1F" w:rsidR="009C04BD" w:rsidRDefault="00517AA7" w:rsidP="00517AA7">
      <w:pPr>
        <w:autoSpaceDE w:val="0"/>
        <w:autoSpaceDN w:val="0"/>
        <w:adjustRightInd w:val="0"/>
        <w:jc w:val="center"/>
        <w:rPr>
          <w:bCs/>
          <w:i/>
        </w:rPr>
      </w:pPr>
      <w:r w:rsidRPr="00517AA7">
        <w:rPr>
          <w:bCs/>
          <w:i/>
        </w:rPr>
        <w:t xml:space="preserve">Authorizing </w:t>
      </w:r>
      <w:r w:rsidRPr="00D9198D">
        <w:rPr>
          <w:bCs/>
          <w:i/>
          <w:highlight w:val="yellow"/>
        </w:rPr>
        <w:t xml:space="preserve">[ </w:t>
      </w:r>
      <w:proofErr w:type="gramStart"/>
      <w:r w:rsidRPr="00D9198D">
        <w:rPr>
          <w:bCs/>
          <w:i/>
          <w:highlight w:val="yellow"/>
        </w:rPr>
        <w:t>● ]</w:t>
      </w:r>
      <w:proofErr w:type="gramEnd"/>
      <w:r w:rsidRPr="00517AA7">
        <w:rPr>
          <w:bCs/>
          <w:i/>
        </w:rPr>
        <w:t xml:space="preserve"> County to Enter Into the Settlement Agreements with Teva Pharmaceutical Industries Ltd., Allergan Finance, LLC, Walgreen Co., Walmart, Inc., CVS Health Corporation and CVS Pharmacy, Inc., </w:t>
      </w:r>
    </w:p>
    <w:p w14:paraId="6C1CE6C0" w14:textId="77777777" w:rsidR="00517AA7" w:rsidRPr="00890DC3" w:rsidRDefault="00517AA7" w:rsidP="009C04BD">
      <w:pPr>
        <w:autoSpaceDE w:val="0"/>
        <w:autoSpaceDN w:val="0"/>
        <w:adjustRightInd w:val="0"/>
        <w:rPr>
          <w:bCs/>
        </w:rPr>
      </w:pPr>
    </w:p>
    <w:p w14:paraId="79E3FF39" w14:textId="77777777" w:rsidR="00E5089F" w:rsidRDefault="009C04BD" w:rsidP="00343FEE">
      <w:pPr>
        <w:ind w:firstLine="720"/>
        <w:jc w:val="both"/>
        <w:rPr>
          <w:bCs/>
        </w:rPr>
      </w:pPr>
      <w:r w:rsidRPr="00890DC3">
        <w:rPr>
          <w:b/>
          <w:bCs/>
        </w:rPr>
        <w:t>WHEREAS</w:t>
      </w:r>
      <w:r w:rsidRPr="00890DC3">
        <w:rPr>
          <w:bCs/>
        </w:rPr>
        <w:t xml:space="preserve">, in </w:t>
      </w:r>
      <w:r w:rsidR="007C2BFB">
        <w:rPr>
          <w:bCs/>
        </w:rPr>
        <w:t>2018,</w:t>
      </w:r>
      <w:r w:rsidR="00FA5935">
        <w:rPr>
          <w:bCs/>
        </w:rPr>
        <w:t xml:space="preserve"> </w:t>
      </w:r>
      <w:r w:rsidR="00E5089F">
        <w:rPr>
          <w:bCs/>
        </w:rPr>
        <w:t xml:space="preserve">the </w:t>
      </w:r>
      <w:r w:rsidR="00250A01">
        <w:rPr>
          <w:bCs/>
        </w:rPr>
        <w:t>County</w:t>
      </w:r>
      <w:r w:rsidR="00E5089F">
        <w:rPr>
          <w:bCs/>
        </w:rPr>
        <w:t xml:space="preserve"> Board of </w:t>
      </w:r>
      <w:r w:rsidR="00FE7D76">
        <w:rPr>
          <w:bCs/>
        </w:rPr>
        <w:t>Supervisors</w:t>
      </w:r>
      <w:r w:rsidR="00E5089F">
        <w:rPr>
          <w:bCs/>
        </w:rPr>
        <w:t xml:space="preserve"> authorized</w:t>
      </w:r>
      <w:r w:rsidR="00250A01">
        <w:rPr>
          <w:bCs/>
        </w:rPr>
        <w:t xml:space="preserve"> </w:t>
      </w:r>
      <w:r w:rsidR="002022F1" w:rsidRPr="008D2746">
        <w:rPr>
          <w:bCs/>
          <w:highlight w:val="yellow"/>
        </w:rPr>
        <w:t>[</w:t>
      </w:r>
      <w:r w:rsidR="008D2746" w:rsidRPr="008D2746">
        <w:rPr>
          <w:bCs/>
          <w:highlight w:val="yellow"/>
        </w:rPr>
        <w:t>INSERT]</w:t>
      </w:r>
      <w:r w:rsidR="008D2746">
        <w:rPr>
          <w:bCs/>
        </w:rPr>
        <w:t xml:space="preserve"> </w:t>
      </w:r>
      <w:r w:rsidR="00250A01">
        <w:rPr>
          <w:bCs/>
        </w:rPr>
        <w:t>County</w:t>
      </w:r>
      <w:r w:rsidR="00E33F28">
        <w:rPr>
          <w:bCs/>
        </w:rPr>
        <w:t xml:space="preserve"> (the “County”)</w:t>
      </w:r>
      <w:r w:rsidR="00E5089F">
        <w:rPr>
          <w:bCs/>
        </w:rPr>
        <w:t xml:space="preserve"> to enter into an engagement agreement with </w:t>
      </w:r>
      <w:r w:rsidR="00B53399">
        <w:t>Crueger Dickinson LLC</w:t>
      </w:r>
      <w:r w:rsidR="00D54C0D">
        <w:t xml:space="preserve">, </w:t>
      </w:r>
      <w:r w:rsidR="00B53399">
        <w:t>Simmons Hanly Conroy LLC</w:t>
      </w:r>
      <w:r w:rsidR="00131D34">
        <w:t xml:space="preserve"> and </w:t>
      </w:r>
      <w:r w:rsidR="00D54C0D">
        <w:t xml:space="preserve">von Briesen &amp; Roper, s.c. </w:t>
      </w:r>
      <w:r w:rsidR="00B53399">
        <w:t xml:space="preserve">(the “Law Firms”) </w:t>
      </w:r>
      <w:r w:rsidR="00E5089F">
        <w:rPr>
          <w:bCs/>
        </w:rPr>
        <w:t>to pursue litigation against certain manufacturers, distributors, and retailers of opioid pharmaceuticals (</w:t>
      </w:r>
      <w:r w:rsidR="00B53399">
        <w:rPr>
          <w:bCs/>
        </w:rPr>
        <w:t xml:space="preserve">the </w:t>
      </w:r>
      <w:r w:rsidR="00E5089F">
        <w:rPr>
          <w:bCs/>
        </w:rPr>
        <w:t xml:space="preserve">“Opioid Defendants”) in an effort to hold the Opioid Defendants financially responsible for the </w:t>
      </w:r>
      <w:r w:rsidR="006C51EE">
        <w:rPr>
          <w:bCs/>
        </w:rPr>
        <w:t xml:space="preserve">impact on of the Opioid Epidemic on the </w:t>
      </w:r>
      <w:r w:rsidR="00E5089F">
        <w:rPr>
          <w:bCs/>
        </w:rPr>
        <w:t>County and resources</w:t>
      </w:r>
      <w:r w:rsidR="006C51EE">
        <w:rPr>
          <w:bCs/>
        </w:rPr>
        <w:t xml:space="preserve"> necessary</w:t>
      </w:r>
      <w:r w:rsidR="00E5089F">
        <w:rPr>
          <w:bCs/>
        </w:rPr>
        <w:t xml:space="preserve"> to combat the opioid epidemic; </w:t>
      </w:r>
      <w:r w:rsidR="00EA6134" w:rsidRPr="00EA6134">
        <w:rPr>
          <w:bCs/>
          <w:highlight w:val="yellow"/>
        </w:rPr>
        <w:t>[NON-LITIGATING REMOVE THIS PARAGRAPH]</w:t>
      </w:r>
    </w:p>
    <w:p w14:paraId="79E3FF3A" w14:textId="77777777" w:rsidR="00E5089F" w:rsidRDefault="00E5089F" w:rsidP="00343FEE">
      <w:pPr>
        <w:ind w:firstLine="720"/>
        <w:jc w:val="both"/>
        <w:rPr>
          <w:bCs/>
        </w:rPr>
      </w:pPr>
    </w:p>
    <w:p w14:paraId="79E3FF3B" w14:textId="77777777" w:rsidR="00E5089F" w:rsidRDefault="00E5089F" w:rsidP="00343FEE">
      <w:pPr>
        <w:ind w:firstLine="720"/>
        <w:jc w:val="both"/>
      </w:pPr>
      <w:r>
        <w:rPr>
          <w:b/>
          <w:bCs/>
        </w:rPr>
        <w:t>WHEREAS</w:t>
      </w:r>
      <w:r>
        <w:rPr>
          <w:bCs/>
        </w:rPr>
        <w:t xml:space="preserve">, </w:t>
      </w:r>
      <w:r w:rsidR="00B53399">
        <w:rPr>
          <w:bCs/>
        </w:rPr>
        <w:t>on behalf of the County, the Law Firms filed a lawsuit against the Opioid Defendants</w:t>
      </w:r>
      <w:r w:rsidR="00E8231A">
        <w:rPr>
          <w:bCs/>
        </w:rPr>
        <w:t xml:space="preserve"> </w:t>
      </w:r>
      <w:r w:rsidR="006F0DCD">
        <w:rPr>
          <w:bCs/>
        </w:rPr>
        <w:t xml:space="preserve">in 2018 </w:t>
      </w:r>
      <w:r w:rsidR="00E8231A">
        <w:rPr>
          <w:bCs/>
        </w:rPr>
        <w:t>and have been litigating against the Opioid Defendants since that time</w:t>
      </w:r>
      <w:r w:rsidR="00B53399">
        <w:t xml:space="preserve">; </w:t>
      </w:r>
      <w:r w:rsidR="00EA6134" w:rsidRPr="00EA6134">
        <w:rPr>
          <w:bCs/>
          <w:highlight w:val="yellow"/>
        </w:rPr>
        <w:t>[NON-LITIGATING REMOVE THIS PARAGRAPH]</w:t>
      </w:r>
    </w:p>
    <w:p w14:paraId="79E3FF3C" w14:textId="77777777" w:rsidR="00B53399" w:rsidRDefault="00B53399" w:rsidP="00D54C0D">
      <w:pPr>
        <w:jc w:val="both"/>
        <w:rPr>
          <w:bCs/>
        </w:rPr>
      </w:pPr>
    </w:p>
    <w:p w14:paraId="79E3FF3D" w14:textId="52E19538" w:rsidR="00E8231A" w:rsidRDefault="00B53399" w:rsidP="00343FEE">
      <w:pPr>
        <w:ind w:firstLine="720"/>
        <w:jc w:val="both"/>
        <w:rPr>
          <w:bCs/>
        </w:rPr>
      </w:pPr>
      <w:r>
        <w:rPr>
          <w:b/>
          <w:bCs/>
        </w:rPr>
        <w:t>WHEREAS</w:t>
      </w:r>
      <w:r>
        <w:rPr>
          <w:bCs/>
        </w:rPr>
        <w:t>,</w:t>
      </w:r>
      <w:r w:rsidR="00E8231A">
        <w:rPr>
          <w:bCs/>
        </w:rPr>
        <w:t xml:space="preserve"> negotiations to settle claims against </w:t>
      </w:r>
      <w:r w:rsidR="006C51EE">
        <w:rPr>
          <w:bCs/>
        </w:rPr>
        <w:t xml:space="preserve">several of the </w:t>
      </w:r>
      <w:r w:rsidR="00E8231A">
        <w:rPr>
          <w:bCs/>
        </w:rPr>
        <w:t>Opioid Defendants</w:t>
      </w:r>
      <w:r w:rsidR="006C51EE">
        <w:rPr>
          <w:bCs/>
        </w:rPr>
        <w:t>,</w:t>
      </w:r>
      <w:r w:rsidR="00EA2D5D">
        <w:rPr>
          <w:bCs/>
        </w:rPr>
        <w:t xml:space="preserve"> specifically</w:t>
      </w:r>
      <w:r w:rsidR="00E8231A">
        <w:rPr>
          <w:bCs/>
        </w:rPr>
        <w:t xml:space="preserve"> </w:t>
      </w:r>
      <w:r w:rsidR="004C7496" w:rsidRPr="004C7496">
        <w:rPr>
          <w:bCs/>
        </w:rPr>
        <w:t xml:space="preserve">Teva Pharmaceutical Industries Ltd., Allergan Finance, LLC, Walgreen Co., Walmart, Inc., CVS Health Corporation and CVS Pharmacy, Inc </w:t>
      </w:r>
      <w:r>
        <w:rPr>
          <w:bCs/>
        </w:rPr>
        <w:t>(</w:t>
      </w:r>
      <w:r w:rsidR="00584078">
        <w:rPr>
          <w:bCs/>
        </w:rPr>
        <w:t xml:space="preserve">the </w:t>
      </w:r>
      <w:r>
        <w:rPr>
          <w:bCs/>
        </w:rPr>
        <w:t xml:space="preserve">“Settling Defendants”) </w:t>
      </w:r>
      <w:r w:rsidR="00E8231A">
        <w:rPr>
          <w:bCs/>
        </w:rPr>
        <w:t>have been ongoing</w:t>
      </w:r>
      <w:r w:rsidR="000B72A6">
        <w:rPr>
          <w:bCs/>
        </w:rPr>
        <w:t xml:space="preserve"> for several years;</w:t>
      </w:r>
    </w:p>
    <w:p w14:paraId="79E3FF3E" w14:textId="77777777" w:rsidR="00E8231A" w:rsidRDefault="00E8231A" w:rsidP="00343FEE">
      <w:pPr>
        <w:ind w:firstLine="720"/>
        <w:jc w:val="both"/>
        <w:rPr>
          <w:bCs/>
        </w:rPr>
      </w:pPr>
    </w:p>
    <w:p w14:paraId="79E3FF3F" w14:textId="77777777" w:rsidR="00B53399" w:rsidRDefault="00E8231A" w:rsidP="00343FEE">
      <w:pPr>
        <w:ind w:firstLine="720"/>
        <w:jc w:val="both"/>
        <w:rPr>
          <w:bCs/>
        </w:rPr>
      </w:pPr>
      <w:r>
        <w:rPr>
          <w:b/>
        </w:rPr>
        <w:t xml:space="preserve">WHEREAS, </w:t>
      </w:r>
      <w:r w:rsidR="00EA2D5D">
        <w:rPr>
          <w:bCs/>
        </w:rPr>
        <w:t xml:space="preserve">negotiations with the Settling Defendants </w:t>
      </w:r>
      <w:r w:rsidR="00D54C0D">
        <w:rPr>
          <w:bCs/>
        </w:rPr>
        <w:t>ha</w:t>
      </w:r>
      <w:r>
        <w:rPr>
          <w:bCs/>
        </w:rPr>
        <w:t>ve</w:t>
      </w:r>
      <w:r w:rsidR="00D54C0D">
        <w:rPr>
          <w:bCs/>
        </w:rPr>
        <w:t xml:space="preserve"> </w:t>
      </w:r>
      <w:r w:rsidR="00B53399">
        <w:rPr>
          <w:bCs/>
        </w:rPr>
        <w:t xml:space="preserve">resulted in </w:t>
      </w:r>
      <w:r w:rsidR="00D54C0D">
        <w:rPr>
          <w:bCs/>
        </w:rPr>
        <w:t xml:space="preserve">proposed </w:t>
      </w:r>
      <w:r>
        <w:rPr>
          <w:bCs/>
        </w:rPr>
        <w:t xml:space="preserve">nationwide </w:t>
      </w:r>
      <w:r w:rsidR="00D54C0D">
        <w:rPr>
          <w:bCs/>
        </w:rPr>
        <w:t>settlement</w:t>
      </w:r>
      <w:r w:rsidR="00937251">
        <w:rPr>
          <w:bCs/>
        </w:rPr>
        <w:t>s</w:t>
      </w:r>
      <w:r w:rsidR="00D54C0D">
        <w:rPr>
          <w:bCs/>
        </w:rPr>
        <w:t xml:space="preserve"> </w:t>
      </w:r>
      <w:r w:rsidR="005F6459">
        <w:rPr>
          <w:bCs/>
        </w:rPr>
        <w:t>of</w:t>
      </w:r>
      <w:r w:rsidR="00D54C0D">
        <w:rPr>
          <w:bCs/>
        </w:rPr>
        <w:t xml:space="preserve"> </w:t>
      </w:r>
      <w:r>
        <w:rPr>
          <w:bCs/>
        </w:rPr>
        <w:t xml:space="preserve">state and local government claims </w:t>
      </w:r>
      <w:r w:rsidR="00B53399">
        <w:rPr>
          <w:bCs/>
        </w:rPr>
        <w:t xml:space="preserve">involved in the Litigation; </w:t>
      </w:r>
    </w:p>
    <w:p w14:paraId="79E3FF40" w14:textId="77777777" w:rsidR="00B53399" w:rsidRDefault="00B53399" w:rsidP="00343FEE">
      <w:pPr>
        <w:ind w:firstLine="720"/>
        <w:jc w:val="both"/>
        <w:rPr>
          <w:bCs/>
        </w:rPr>
      </w:pPr>
    </w:p>
    <w:p w14:paraId="79E3FF41" w14:textId="42F354B1" w:rsidR="00E8231A" w:rsidRDefault="00B53399" w:rsidP="00343FEE">
      <w:pPr>
        <w:ind w:firstLine="720"/>
        <w:jc w:val="both"/>
        <w:rPr>
          <w:bCs/>
        </w:rPr>
      </w:pPr>
      <w:r>
        <w:rPr>
          <w:b/>
          <w:bCs/>
        </w:rPr>
        <w:t>WHEREAS</w:t>
      </w:r>
      <w:r>
        <w:rPr>
          <w:bCs/>
        </w:rPr>
        <w:t xml:space="preserve">, </w:t>
      </w:r>
      <w:r w:rsidR="00584078">
        <w:rPr>
          <w:bCs/>
        </w:rPr>
        <w:t xml:space="preserve">the </w:t>
      </w:r>
      <w:r w:rsidR="00E8231A">
        <w:rPr>
          <w:bCs/>
        </w:rPr>
        <w:t xml:space="preserve">proposed terms of </w:t>
      </w:r>
      <w:r w:rsidR="00A078CA">
        <w:rPr>
          <w:bCs/>
        </w:rPr>
        <w:t xml:space="preserve">those proposed </w:t>
      </w:r>
      <w:r w:rsidR="00E8231A">
        <w:rPr>
          <w:bCs/>
        </w:rPr>
        <w:t>nationwide settlement</w:t>
      </w:r>
      <w:r w:rsidR="00A078CA">
        <w:rPr>
          <w:bCs/>
        </w:rPr>
        <w:t>s</w:t>
      </w:r>
      <w:r w:rsidR="00E8231A">
        <w:rPr>
          <w:bCs/>
        </w:rPr>
        <w:t xml:space="preserve"> </w:t>
      </w:r>
      <w:r w:rsidR="00D9198D">
        <w:rPr>
          <w:bCs/>
        </w:rPr>
        <w:t>are</w:t>
      </w:r>
      <w:r w:rsidR="00E8231A">
        <w:rPr>
          <w:bCs/>
        </w:rPr>
        <w:t xml:space="preserve"> set forth in the </w:t>
      </w:r>
      <w:r w:rsidR="00A45B75">
        <w:rPr>
          <w:bCs/>
        </w:rPr>
        <w:t>Teva and Allergan</w:t>
      </w:r>
      <w:r w:rsidR="00870C66">
        <w:rPr>
          <w:bCs/>
        </w:rPr>
        <w:t xml:space="preserve"> </w:t>
      </w:r>
      <w:r w:rsidR="00584078">
        <w:rPr>
          <w:bCs/>
        </w:rPr>
        <w:t xml:space="preserve">Settlement Agreement and </w:t>
      </w:r>
      <w:r w:rsidR="00870C66">
        <w:rPr>
          <w:bCs/>
        </w:rPr>
        <w:t xml:space="preserve">the </w:t>
      </w:r>
      <w:r w:rsidR="00DC3E16">
        <w:rPr>
          <w:bCs/>
        </w:rPr>
        <w:t>Walmart, Walgreens, and CVS</w:t>
      </w:r>
      <w:r w:rsidR="00870C66">
        <w:rPr>
          <w:bCs/>
        </w:rPr>
        <w:t xml:space="preserve"> </w:t>
      </w:r>
      <w:r w:rsidR="00584078">
        <w:rPr>
          <w:bCs/>
        </w:rPr>
        <w:t>Settlement Agreement (collectively “Settlement Agreements”)</w:t>
      </w:r>
      <w:r w:rsidR="00A078CA">
        <w:rPr>
          <w:bCs/>
        </w:rPr>
        <w:t>;</w:t>
      </w:r>
    </w:p>
    <w:p w14:paraId="79E3FF42" w14:textId="77777777" w:rsidR="009B7894" w:rsidRDefault="009B7894" w:rsidP="00343FEE">
      <w:pPr>
        <w:ind w:firstLine="720"/>
        <w:jc w:val="both"/>
        <w:rPr>
          <w:bCs/>
        </w:rPr>
      </w:pPr>
    </w:p>
    <w:p w14:paraId="79E3FF43" w14:textId="2A9BCCC1" w:rsidR="009B7894" w:rsidRDefault="009B7894" w:rsidP="009B7894">
      <w:pPr>
        <w:ind w:firstLine="720"/>
        <w:jc w:val="both"/>
        <w:rPr>
          <w:bCs/>
        </w:rPr>
      </w:pPr>
      <w:proofErr w:type="gramStart"/>
      <w:r>
        <w:rPr>
          <w:b/>
        </w:rPr>
        <w:t>WHEREAS,</w:t>
      </w:r>
      <w:proofErr w:type="gramEnd"/>
      <w:r>
        <w:rPr>
          <w:bCs/>
        </w:rPr>
        <w:t xml:space="preserve"> the Settlement Agreements as well as</w:t>
      </w:r>
      <w:r w:rsidR="00D9198D">
        <w:rPr>
          <w:bCs/>
        </w:rPr>
        <w:t xml:space="preserve"> a</w:t>
      </w:r>
      <w:r>
        <w:rPr>
          <w:bCs/>
        </w:rPr>
        <w:t xml:space="preserve"> summary of the main terms of the Settlement Agreements, the deadlines for submitting the Participation Agreements to the Settlement Agreements</w:t>
      </w:r>
      <w:r w:rsidR="000A435D">
        <w:rPr>
          <w:bCs/>
        </w:rPr>
        <w:t xml:space="preserve"> and </w:t>
      </w:r>
      <w:r>
        <w:rPr>
          <w:bCs/>
        </w:rPr>
        <w:t xml:space="preserve">the MDL Court’s Order setting deadlines for any </w:t>
      </w:r>
      <w:r w:rsidR="000A435D">
        <w:rPr>
          <w:bCs/>
        </w:rPr>
        <w:t xml:space="preserve">Plaintiff </w:t>
      </w:r>
      <w:r>
        <w:rPr>
          <w:bCs/>
        </w:rPr>
        <w:t xml:space="preserve">who declines to enter into the Settlement Agreements have been provided </w:t>
      </w:r>
      <w:r w:rsidR="0051744C">
        <w:rPr>
          <w:bCs/>
        </w:rPr>
        <w:t xml:space="preserve">to the </w:t>
      </w:r>
      <w:r w:rsidR="00D74EE2">
        <w:rPr>
          <w:bCs/>
        </w:rPr>
        <w:t xml:space="preserve">County </w:t>
      </w:r>
      <w:r w:rsidR="0051744C">
        <w:rPr>
          <w:bCs/>
        </w:rPr>
        <w:t xml:space="preserve">prior to the execution of </w:t>
      </w:r>
      <w:r>
        <w:rPr>
          <w:bCs/>
        </w:rPr>
        <w:t xml:space="preserve">this Resolution; </w:t>
      </w:r>
    </w:p>
    <w:p w14:paraId="79E3FF44" w14:textId="77777777" w:rsidR="002515D9" w:rsidRDefault="002515D9" w:rsidP="00343FEE">
      <w:pPr>
        <w:ind w:firstLine="720"/>
        <w:jc w:val="both"/>
        <w:rPr>
          <w:bCs/>
        </w:rPr>
      </w:pPr>
    </w:p>
    <w:p w14:paraId="79E3FF45" w14:textId="5105AB6C" w:rsidR="002515D9" w:rsidRDefault="002515D9" w:rsidP="002515D9">
      <w:pPr>
        <w:ind w:firstLine="720"/>
        <w:jc w:val="both"/>
        <w:rPr>
          <w:bCs/>
        </w:rPr>
      </w:pPr>
      <w:r>
        <w:rPr>
          <w:b/>
          <w:bCs/>
        </w:rPr>
        <w:t>WHEREAS</w:t>
      </w:r>
      <w:r>
        <w:rPr>
          <w:bCs/>
        </w:rPr>
        <w:t xml:space="preserve">, the Settlement Agreements provide, among other things, for the payment of </w:t>
      </w:r>
      <w:r w:rsidR="002D3A87">
        <w:rPr>
          <w:bCs/>
        </w:rPr>
        <w:t xml:space="preserve">a </w:t>
      </w:r>
      <w:r>
        <w:rPr>
          <w:bCs/>
        </w:rPr>
        <w:t xml:space="preserve">certain sum to settling government entities in </w:t>
      </w:r>
      <w:r w:rsidR="00C90AB0">
        <w:rPr>
          <w:bCs/>
        </w:rPr>
        <w:t>Iowa</w:t>
      </w:r>
      <w:r w:rsidR="007D13C8">
        <w:rPr>
          <w:bCs/>
        </w:rPr>
        <w:t xml:space="preserve"> </w:t>
      </w:r>
      <w:r w:rsidR="009B7894">
        <w:rPr>
          <w:bCs/>
        </w:rPr>
        <w:t xml:space="preserve">including </w:t>
      </w:r>
      <w:r w:rsidR="00E84F48">
        <w:rPr>
          <w:bCs/>
        </w:rPr>
        <w:t xml:space="preserve">to </w:t>
      </w:r>
      <w:r w:rsidR="009B7894">
        <w:rPr>
          <w:bCs/>
        </w:rPr>
        <w:t xml:space="preserve">the State of </w:t>
      </w:r>
      <w:r w:rsidR="00C90AB0">
        <w:rPr>
          <w:bCs/>
        </w:rPr>
        <w:t>Iowa</w:t>
      </w:r>
      <w:r w:rsidR="007D13C8">
        <w:rPr>
          <w:bCs/>
        </w:rPr>
        <w:t xml:space="preserve"> </w:t>
      </w:r>
      <w:r w:rsidR="009B7894">
        <w:rPr>
          <w:bCs/>
        </w:rPr>
        <w:t>and Participating Subdivisions</w:t>
      </w:r>
      <w:r w:rsidR="00295296">
        <w:rPr>
          <w:bCs/>
        </w:rPr>
        <w:t>,</w:t>
      </w:r>
      <w:r w:rsidR="009B7894">
        <w:rPr>
          <w:bCs/>
        </w:rPr>
        <w:t xml:space="preserve"> </w:t>
      </w:r>
      <w:r w:rsidR="00C76C1D">
        <w:rPr>
          <w:bCs/>
        </w:rPr>
        <w:t>as that term is defined in the Settlement Agreements</w:t>
      </w:r>
      <w:r w:rsidR="00D9198D">
        <w:rPr>
          <w:bCs/>
        </w:rPr>
        <w:t xml:space="preserve"> </w:t>
      </w:r>
      <w:r w:rsidR="00D9198D" w:rsidRPr="009D3BAE">
        <w:rPr>
          <w:bCs/>
        </w:rPr>
        <w:t>(“</w:t>
      </w:r>
      <w:r w:rsidR="00D9198D">
        <w:rPr>
          <w:bCs/>
        </w:rPr>
        <w:t>Iowa Opioid Funds</w:t>
      </w:r>
      <w:r w:rsidR="00D9198D" w:rsidRPr="009D3BAE">
        <w:rPr>
          <w:bCs/>
        </w:rPr>
        <w:t>”)</w:t>
      </w:r>
      <w:r w:rsidR="00295296">
        <w:rPr>
          <w:bCs/>
        </w:rPr>
        <w:t>,</w:t>
      </w:r>
      <w:r w:rsidR="00C76C1D">
        <w:rPr>
          <w:bCs/>
        </w:rPr>
        <w:t xml:space="preserve"> </w:t>
      </w:r>
      <w:r w:rsidR="00801609">
        <w:rPr>
          <w:bCs/>
        </w:rPr>
        <w:t>upon occurrence of certain events as defined in the Settlement Agreements</w:t>
      </w:r>
      <w:r w:rsidR="009B7894">
        <w:rPr>
          <w:bCs/>
        </w:rPr>
        <w:t>;</w:t>
      </w:r>
    </w:p>
    <w:p w14:paraId="79E3FF46" w14:textId="77777777" w:rsidR="006C51EE" w:rsidRDefault="006C51EE" w:rsidP="009B7894">
      <w:pPr>
        <w:jc w:val="both"/>
        <w:rPr>
          <w:bCs/>
        </w:rPr>
      </w:pPr>
    </w:p>
    <w:p w14:paraId="79E3FF47" w14:textId="6B2BE481" w:rsidR="0099302D" w:rsidRDefault="006C51EE" w:rsidP="00C15EEF">
      <w:pPr>
        <w:ind w:firstLine="720"/>
        <w:jc w:val="both"/>
        <w:rPr>
          <w:bCs/>
        </w:rPr>
      </w:pPr>
      <w:r>
        <w:rPr>
          <w:b/>
          <w:bCs/>
        </w:rPr>
        <w:t>WHEREAS</w:t>
      </w:r>
      <w:r>
        <w:rPr>
          <w:bCs/>
        </w:rPr>
        <w:t xml:space="preserve">, the Law Firms have engaged in extensive discussions with the State Attorney General’s Office (“AGO”) as to how </w:t>
      </w:r>
      <w:r w:rsidR="00D50CA8">
        <w:rPr>
          <w:bCs/>
        </w:rPr>
        <w:t xml:space="preserve">the </w:t>
      </w:r>
      <w:r w:rsidR="00824F49">
        <w:rPr>
          <w:bCs/>
        </w:rPr>
        <w:t>Iowa Opioid Funds</w:t>
      </w:r>
      <w:r w:rsidR="00D50CA8">
        <w:rPr>
          <w:bCs/>
        </w:rPr>
        <w:t xml:space="preserve"> will be allocated</w:t>
      </w:r>
      <w:r w:rsidR="002D3A87">
        <w:rPr>
          <w:bCs/>
        </w:rPr>
        <w:t>,</w:t>
      </w:r>
      <w:r w:rsidR="00D50CA8">
        <w:rPr>
          <w:bCs/>
        </w:rPr>
        <w:t xml:space="preserve"> </w:t>
      </w:r>
      <w:r w:rsidR="00D50CA8" w:rsidRPr="00D50CA8">
        <w:rPr>
          <w:bCs/>
        </w:rPr>
        <w:t xml:space="preserve">which has resulted in the </w:t>
      </w:r>
      <w:r w:rsidR="00833D83">
        <w:t xml:space="preserve">Iowa Opioid Allocation </w:t>
      </w:r>
      <w:r w:rsidR="00C15EEF" w:rsidRPr="00C15EEF">
        <w:t xml:space="preserve">Memorandum of Understanding </w:t>
      </w:r>
      <w:r w:rsidR="00C15EEF">
        <w:rPr>
          <w:bCs/>
        </w:rPr>
        <w:t>(“</w:t>
      </w:r>
      <w:r w:rsidR="00D50CA8" w:rsidRPr="00D50CA8">
        <w:rPr>
          <w:bCs/>
        </w:rPr>
        <w:t>Allocation MOU</w:t>
      </w:r>
      <w:r w:rsidR="00C15EEF">
        <w:rPr>
          <w:bCs/>
        </w:rPr>
        <w:t>”)</w:t>
      </w:r>
      <w:r w:rsidR="00D50CA8" w:rsidRPr="00D50CA8">
        <w:rPr>
          <w:bCs/>
        </w:rPr>
        <w:t xml:space="preserve">, which is an agreement between all of the entities </w:t>
      </w:r>
      <w:r w:rsidR="00833D83">
        <w:rPr>
          <w:bCs/>
        </w:rPr>
        <w:t xml:space="preserve">who are signatories to </w:t>
      </w:r>
      <w:r w:rsidR="00D50CA8" w:rsidRPr="00D50CA8">
        <w:rPr>
          <w:bCs/>
        </w:rPr>
        <w:t xml:space="preserve">the Allocation </w:t>
      </w:r>
      <w:proofErr w:type="gramStart"/>
      <w:r w:rsidR="00D50CA8" w:rsidRPr="00D50CA8">
        <w:rPr>
          <w:bCs/>
        </w:rPr>
        <w:t>MOU</w:t>
      </w:r>
      <w:r w:rsidR="007F66AA">
        <w:rPr>
          <w:bCs/>
        </w:rPr>
        <w:t>;</w:t>
      </w:r>
      <w:proofErr w:type="gramEnd"/>
    </w:p>
    <w:p w14:paraId="79E3FF4A" w14:textId="77777777" w:rsidR="005F6805" w:rsidRDefault="005F6805" w:rsidP="00CF0484">
      <w:pPr>
        <w:jc w:val="both"/>
        <w:rPr>
          <w:bCs/>
        </w:rPr>
      </w:pPr>
    </w:p>
    <w:p w14:paraId="79E3FF4B" w14:textId="27591876" w:rsidR="005067CD" w:rsidRDefault="009424F5" w:rsidP="005067CD">
      <w:pPr>
        <w:ind w:firstLine="720"/>
        <w:jc w:val="both"/>
        <w:rPr>
          <w:bCs/>
        </w:rPr>
      </w:pPr>
      <w:r>
        <w:rPr>
          <w:b/>
        </w:rPr>
        <w:t xml:space="preserve">WHEREAS, </w:t>
      </w:r>
      <w:r w:rsidR="00FE5373">
        <w:rPr>
          <w:bCs/>
        </w:rPr>
        <w:t xml:space="preserve">the Allocation MOU divides </w:t>
      </w:r>
      <w:r w:rsidR="00824F49">
        <w:rPr>
          <w:bCs/>
        </w:rPr>
        <w:t xml:space="preserve">Iowa Opioid Funds as follows: </w:t>
      </w:r>
      <w:r w:rsidR="00061DD5" w:rsidRPr="00061DD5">
        <w:rPr>
          <w:bCs/>
        </w:rPr>
        <w:t xml:space="preserve">(i) 50% to the </w:t>
      </w:r>
      <w:r w:rsidR="00490AB5">
        <w:rPr>
          <w:bCs/>
        </w:rPr>
        <w:t xml:space="preserve">State </w:t>
      </w:r>
      <w:r w:rsidR="00061DD5" w:rsidRPr="00061DD5">
        <w:rPr>
          <w:bCs/>
        </w:rPr>
        <w:t>(“</w:t>
      </w:r>
      <w:r w:rsidR="00490AB5">
        <w:rPr>
          <w:bCs/>
        </w:rPr>
        <w:t xml:space="preserve">the </w:t>
      </w:r>
      <w:r w:rsidR="00061DD5" w:rsidRPr="00061DD5">
        <w:rPr>
          <w:bCs/>
        </w:rPr>
        <w:t>Iowa Abatement Share”) and (ii) 50% to Participating Local Governments</w:t>
      </w:r>
      <w:r w:rsidR="006106E7">
        <w:rPr>
          <w:bCs/>
        </w:rPr>
        <w:t xml:space="preserve"> (“LG Share”</w:t>
      </w:r>
      <w:r w:rsidR="005B097F">
        <w:rPr>
          <w:bCs/>
        </w:rPr>
        <w:t>)</w:t>
      </w:r>
      <w:r w:rsidR="00061DD5" w:rsidRPr="00061DD5">
        <w:rPr>
          <w:bCs/>
        </w:rPr>
        <w:t xml:space="preserve">, </w:t>
      </w:r>
      <w:r w:rsidR="00D9198D">
        <w:rPr>
          <w:bCs/>
        </w:rPr>
        <w:t>net of</w:t>
      </w:r>
      <w:r w:rsidR="00061DD5" w:rsidRPr="00061DD5">
        <w:rPr>
          <w:bCs/>
        </w:rPr>
        <w:t xml:space="preserve"> fees and costs allocated to the Iowa Backstop Fund as set forth in Section D</w:t>
      </w:r>
      <w:r w:rsidR="001E7090">
        <w:rPr>
          <w:bCs/>
        </w:rPr>
        <w:t xml:space="preserve"> </w:t>
      </w:r>
      <w:r w:rsidR="00B06B59">
        <w:rPr>
          <w:bCs/>
        </w:rPr>
        <w:t xml:space="preserve">of </w:t>
      </w:r>
      <w:r w:rsidR="001E7090">
        <w:rPr>
          <w:bCs/>
        </w:rPr>
        <w:t>the Allocation MOU</w:t>
      </w:r>
      <w:r w:rsidR="00061DD5" w:rsidRPr="00061DD5">
        <w:rPr>
          <w:bCs/>
        </w:rPr>
        <w:t xml:space="preserve"> </w:t>
      </w:r>
      <w:r w:rsidR="001E7090">
        <w:rPr>
          <w:bCs/>
        </w:rPr>
        <w:t xml:space="preserve">and in this Resolution </w:t>
      </w:r>
      <w:r w:rsidR="00061DD5" w:rsidRPr="00061DD5">
        <w:rPr>
          <w:bCs/>
        </w:rPr>
        <w:t>(“LG Abatement Share”)</w:t>
      </w:r>
      <w:r w:rsidR="00D9198D">
        <w:rPr>
          <w:bCs/>
        </w:rPr>
        <w:t>;</w:t>
      </w:r>
    </w:p>
    <w:p w14:paraId="79E3FF4C" w14:textId="77777777" w:rsidR="005067CD" w:rsidRDefault="005067CD" w:rsidP="005067CD">
      <w:pPr>
        <w:ind w:firstLine="720"/>
        <w:jc w:val="both"/>
        <w:rPr>
          <w:b/>
        </w:rPr>
      </w:pPr>
    </w:p>
    <w:p w14:paraId="79E3FF4D" w14:textId="103DDB63" w:rsidR="004B7985" w:rsidRDefault="005067CD" w:rsidP="001C49D0">
      <w:pPr>
        <w:ind w:firstLine="720"/>
        <w:jc w:val="both"/>
        <w:rPr>
          <w:bCs/>
        </w:rPr>
      </w:pPr>
      <w:r>
        <w:rPr>
          <w:b/>
        </w:rPr>
        <w:t xml:space="preserve">WHEREAS, </w:t>
      </w:r>
      <w:r>
        <w:rPr>
          <w:bCs/>
        </w:rPr>
        <w:t>t</w:t>
      </w:r>
      <w:r w:rsidRPr="005067CD">
        <w:rPr>
          <w:bCs/>
        </w:rPr>
        <w:t xml:space="preserve">he LG Abatement Share shall be distributed in direct payments to the Counties that are Participating Local Governments according to </w:t>
      </w:r>
      <w:r w:rsidR="004B7985" w:rsidRPr="00B029ED">
        <w:rPr>
          <w:bCs/>
        </w:rPr>
        <w:t>the allocation model developed in connection with the proposed</w:t>
      </w:r>
      <w:r w:rsidR="004B7985">
        <w:rPr>
          <w:bCs/>
        </w:rPr>
        <w:t xml:space="preserve"> </w:t>
      </w:r>
      <w:r w:rsidR="004B7985" w:rsidRPr="00B029ED">
        <w:rPr>
          <w:bCs/>
        </w:rPr>
        <w:t>negotiating class in the National Prescription Opiate Litigation (MDL No. 2804)</w:t>
      </w:r>
      <w:r w:rsidR="00400135">
        <w:rPr>
          <w:bCs/>
        </w:rPr>
        <w:t xml:space="preserve"> </w:t>
      </w:r>
      <w:r w:rsidR="00400135" w:rsidRPr="005067CD">
        <w:rPr>
          <w:bCs/>
        </w:rPr>
        <w:t xml:space="preserve">in the amounts set forth on Exhibit 2 </w:t>
      </w:r>
      <w:r w:rsidR="00400135">
        <w:rPr>
          <w:bCs/>
        </w:rPr>
        <w:t xml:space="preserve">to the Allocation MOU </w:t>
      </w:r>
      <w:r w:rsidR="00400135" w:rsidRPr="005067CD">
        <w:rPr>
          <w:bCs/>
        </w:rPr>
        <w:t xml:space="preserve">(“Direct Distribution </w:t>
      </w:r>
      <w:r w:rsidR="001C49D0">
        <w:rPr>
          <w:bCs/>
        </w:rPr>
        <w:t>Percentage</w:t>
      </w:r>
      <w:r w:rsidR="00400135" w:rsidRPr="005067CD">
        <w:rPr>
          <w:bCs/>
        </w:rPr>
        <w:t xml:space="preserve">”). </w:t>
      </w:r>
      <w:r w:rsidR="004B7985" w:rsidRPr="005351A5">
        <w:rPr>
          <w:bCs/>
        </w:rPr>
        <w:t xml:space="preserve">The </w:t>
      </w:r>
      <w:r w:rsidR="001C49D0">
        <w:rPr>
          <w:bCs/>
        </w:rPr>
        <w:t xml:space="preserve">Direct Distribution Percentage </w:t>
      </w:r>
      <w:r w:rsidR="004B7985">
        <w:rPr>
          <w:bCs/>
        </w:rPr>
        <w:t xml:space="preserve">will be </w:t>
      </w:r>
      <w:r w:rsidR="00684960">
        <w:rPr>
          <w:bCs/>
        </w:rPr>
        <w:t xml:space="preserve">multiplied by the </w:t>
      </w:r>
      <w:r w:rsidR="004B7985">
        <w:rPr>
          <w:bCs/>
        </w:rPr>
        <w:t xml:space="preserve">total </w:t>
      </w:r>
      <w:r w:rsidR="00684960">
        <w:rPr>
          <w:bCs/>
        </w:rPr>
        <w:t xml:space="preserve">LG Abatement Share </w:t>
      </w:r>
      <w:r w:rsidR="00BE0749">
        <w:rPr>
          <w:bCs/>
        </w:rPr>
        <w:t xml:space="preserve">to arrive at the total </w:t>
      </w:r>
      <w:r w:rsidR="0011313B">
        <w:rPr>
          <w:bCs/>
        </w:rPr>
        <w:t xml:space="preserve">allocation </w:t>
      </w:r>
      <w:r w:rsidR="00BE0749">
        <w:rPr>
          <w:bCs/>
        </w:rPr>
        <w:t xml:space="preserve">to the Participating Local Government </w:t>
      </w:r>
      <w:r w:rsidR="004B7985" w:rsidRPr="005351A5">
        <w:rPr>
          <w:bCs/>
        </w:rPr>
        <w:t>(the “</w:t>
      </w:r>
      <w:r w:rsidR="00F0531F">
        <w:rPr>
          <w:bCs/>
        </w:rPr>
        <w:t>Direct Distribution Amount</w:t>
      </w:r>
      <w:r w:rsidR="004B7985" w:rsidRPr="005351A5">
        <w:rPr>
          <w:bCs/>
        </w:rPr>
        <w:t>”</w:t>
      </w:r>
      <w:proofErr w:type="gramStart"/>
      <w:r w:rsidR="004B7985" w:rsidRPr="005351A5">
        <w:rPr>
          <w:bCs/>
        </w:rPr>
        <w:t>)</w:t>
      </w:r>
      <w:r w:rsidR="00D9198D">
        <w:rPr>
          <w:bCs/>
        </w:rPr>
        <w:t>;</w:t>
      </w:r>
      <w:proofErr w:type="gramEnd"/>
    </w:p>
    <w:p w14:paraId="79E3FF4E" w14:textId="07CAC9F2" w:rsidR="005067CD" w:rsidRDefault="00EA3FF0" w:rsidP="00BE0749">
      <w:pPr>
        <w:jc w:val="both"/>
        <w:rPr>
          <w:bCs/>
        </w:rPr>
      </w:pPr>
      <w:r>
        <w:rPr>
          <w:bCs/>
        </w:rPr>
        <w:tab/>
      </w:r>
    </w:p>
    <w:p w14:paraId="09B1F32D" w14:textId="7D8C2F0E" w:rsidR="00EA3FF0" w:rsidRDefault="00EA3FF0" w:rsidP="003A656A">
      <w:pPr>
        <w:ind w:firstLine="720"/>
        <w:jc w:val="both"/>
        <w:rPr>
          <w:bCs/>
        </w:rPr>
      </w:pPr>
      <w:r>
        <w:rPr>
          <w:bCs/>
        </w:rPr>
        <w:tab/>
      </w:r>
      <w:proofErr w:type="gramStart"/>
      <w:r>
        <w:rPr>
          <w:b/>
        </w:rPr>
        <w:t>WHEREAS,</w:t>
      </w:r>
      <w:proofErr w:type="gramEnd"/>
      <w:r>
        <w:rPr>
          <w:b/>
        </w:rPr>
        <w:t xml:space="preserve"> </w:t>
      </w:r>
      <w:r w:rsidRPr="000E7EC8">
        <w:t xml:space="preserve">100% of the Iowa Abatement Share and the LG Abatement Share, regardless of allocation, shall be utilized only for Opioid Related Expenditures incurred after the Effective Date of this MOU.  </w:t>
      </w:r>
      <w:r w:rsidR="003A656A" w:rsidRPr="003A656A">
        <w:rPr>
          <w:bCs/>
        </w:rPr>
        <w:t>The list of approved Opioid Related Expenditures is set forth in Exhibit 1 of the MOU (Iowa State – Local Allocation MOU</w:t>
      </w:r>
      <w:r w:rsidR="003A656A">
        <w:rPr>
          <w:bCs/>
        </w:rPr>
        <w:t>.</w:t>
      </w:r>
    </w:p>
    <w:p w14:paraId="79E3FF50" w14:textId="77777777" w:rsidR="00564539" w:rsidRDefault="00564539" w:rsidP="000E7EC8">
      <w:pPr>
        <w:ind w:firstLine="720"/>
        <w:jc w:val="both"/>
      </w:pPr>
    </w:p>
    <w:p w14:paraId="79E3FF51" w14:textId="6E785403" w:rsidR="008D5D36" w:rsidRDefault="00564539" w:rsidP="008D5D36">
      <w:pPr>
        <w:ind w:firstLine="720"/>
        <w:jc w:val="both"/>
      </w:pPr>
      <w:r>
        <w:rPr>
          <w:b/>
          <w:bCs/>
        </w:rPr>
        <w:t xml:space="preserve">WHEREAS </w:t>
      </w:r>
      <w:r>
        <w:t xml:space="preserve">at </w:t>
      </w:r>
      <w:r w:rsidR="000E7EC8" w:rsidRPr="000E7EC8">
        <w:t xml:space="preserve">least 75% of the Iowa Abatement Share and </w:t>
      </w:r>
      <w:r w:rsidR="005B097F">
        <w:t xml:space="preserve">75% of </w:t>
      </w:r>
      <w:r w:rsidR="000E7EC8" w:rsidRPr="000E7EC8">
        <w:t xml:space="preserve">the LG Abatement Share shall be utilized for only the “Core Strategies” listed in Schedule A of Exhibit 1 to </w:t>
      </w:r>
      <w:r w:rsidR="00EA3FF0" w:rsidRPr="00D50CA8">
        <w:rPr>
          <w:bCs/>
        </w:rPr>
        <w:t>Allocation MOU</w:t>
      </w:r>
      <w:r w:rsidR="00D9198D">
        <w:t>;</w:t>
      </w:r>
    </w:p>
    <w:p w14:paraId="79E3FF52" w14:textId="77777777" w:rsidR="008D5D36" w:rsidRDefault="008D5D36" w:rsidP="008D5D36">
      <w:pPr>
        <w:ind w:firstLine="720"/>
        <w:jc w:val="both"/>
      </w:pPr>
    </w:p>
    <w:p w14:paraId="694368F2" w14:textId="77777777" w:rsidR="00D9198D" w:rsidRDefault="008D5D36" w:rsidP="008D5D36">
      <w:pPr>
        <w:ind w:firstLine="720"/>
        <w:jc w:val="both"/>
        <w:rPr>
          <w:bCs/>
        </w:rPr>
      </w:pPr>
      <w:r>
        <w:rPr>
          <w:b/>
        </w:rPr>
        <w:t xml:space="preserve">WHEREAS, </w:t>
      </w:r>
      <w:r>
        <w:rPr>
          <w:bCs/>
        </w:rPr>
        <w:t>e</w:t>
      </w:r>
      <w:r w:rsidRPr="008D5D36">
        <w:rPr>
          <w:bCs/>
        </w:rPr>
        <w:t>very Participating Local Government that receives a Direct Distribution Amount shall create a separate fund on its financial books and records that is designated for the receipt and expenditure of the entity’s Direct Distribution Amount, called the “LG Abatement Fund</w:t>
      </w:r>
      <w:r w:rsidR="00D9198D">
        <w:rPr>
          <w:bCs/>
        </w:rPr>
        <w:t>;</w:t>
      </w:r>
      <w:r w:rsidRPr="008D5D36">
        <w:rPr>
          <w:bCs/>
        </w:rPr>
        <w:t xml:space="preserve">”  </w:t>
      </w:r>
    </w:p>
    <w:p w14:paraId="4BFD8101" w14:textId="77777777" w:rsidR="00D9198D" w:rsidRDefault="00D9198D" w:rsidP="008D5D36">
      <w:pPr>
        <w:ind w:firstLine="720"/>
        <w:jc w:val="both"/>
        <w:rPr>
          <w:bCs/>
        </w:rPr>
      </w:pPr>
    </w:p>
    <w:p w14:paraId="79E3FF53" w14:textId="40C6E0DD" w:rsidR="008D5D36" w:rsidRDefault="00D9198D" w:rsidP="008D5D36">
      <w:pPr>
        <w:ind w:firstLine="720"/>
        <w:jc w:val="both"/>
        <w:rPr>
          <w:bCs/>
        </w:rPr>
      </w:pPr>
      <w:r>
        <w:rPr>
          <w:b/>
        </w:rPr>
        <w:t>WHEREAS,</w:t>
      </w:r>
      <w:r>
        <w:rPr>
          <w:bCs/>
        </w:rPr>
        <w:t xml:space="preserve"> </w:t>
      </w:r>
      <w:r w:rsidR="008D5D36" w:rsidRPr="008D5D36">
        <w:rPr>
          <w:bCs/>
        </w:rPr>
        <w:t>Funds in an LG Abatement Fund shall not be commingled with any other money or funds of the Participating Local Government</w:t>
      </w:r>
      <w:r>
        <w:rPr>
          <w:bCs/>
        </w:rPr>
        <w:t>, but a</w:t>
      </w:r>
      <w:r w:rsidR="008D5D36" w:rsidRPr="008D5D36">
        <w:rPr>
          <w:bCs/>
        </w:rPr>
        <w:t xml:space="preserve"> Participating Local Government may invest LG Abatement Fund funds consistent with the investment of other funds of a Participating Local Government</w:t>
      </w:r>
      <w:r>
        <w:rPr>
          <w:bCs/>
        </w:rPr>
        <w:t>;</w:t>
      </w:r>
      <w:r w:rsidR="008D5D36" w:rsidRPr="008D5D36">
        <w:rPr>
          <w:bCs/>
        </w:rPr>
        <w:t xml:space="preserve"> </w:t>
      </w:r>
    </w:p>
    <w:p w14:paraId="79E3FF54" w14:textId="77777777" w:rsidR="00100E25" w:rsidRDefault="00100E25" w:rsidP="008D5D36">
      <w:pPr>
        <w:ind w:firstLine="720"/>
        <w:jc w:val="both"/>
        <w:rPr>
          <w:bCs/>
        </w:rPr>
      </w:pPr>
    </w:p>
    <w:p w14:paraId="79E3FF55" w14:textId="1ACE142A" w:rsidR="008D5D36" w:rsidRPr="00100E25" w:rsidRDefault="00100E25" w:rsidP="00100E25">
      <w:pPr>
        <w:ind w:firstLine="720"/>
        <w:jc w:val="both"/>
        <w:rPr>
          <w:bCs/>
        </w:rPr>
      </w:pPr>
      <w:proofErr w:type="gramStart"/>
      <w:r w:rsidRPr="00582E71">
        <w:rPr>
          <w:b/>
        </w:rPr>
        <w:t>WHEREAS,</w:t>
      </w:r>
      <w:proofErr w:type="gramEnd"/>
      <w:r w:rsidRPr="00582E71">
        <w:rPr>
          <w:b/>
        </w:rPr>
        <w:t xml:space="preserve"> </w:t>
      </w:r>
      <w:r w:rsidR="008D5D36" w:rsidRPr="00582E71">
        <w:rPr>
          <w:bCs/>
        </w:rPr>
        <w:t>Funds in a LG Abatement Fund may be expended by a Participating Local Government only for Opioid Related Expenditures</w:t>
      </w:r>
      <w:r w:rsidR="00C04EFB" w:rsidRPr="00582E71">
        <w:rPr>
          <w:bCs/>
        </w:rPr>
        <w:t>,</w:t>
      </w:r>
      <w:r w:rsidR="00D9198D" w:rsidRPr="00582E71">
        <w:rPr>
          <w:bCs/>
        </w:rPr>
        <w:t xml:space="preserve"> </w:t>
      </w:r>
      <w:r w:rsidR="00C04EFB" w:rsidRPr="00582E71">
        <w:rPr>
          <w:bCs/>
        </w:rPr>
        <w:t xml:space="preserve">shall be dedicated to funding opioid abatement measures as provided in the Settlement Agreements and the Allocation MOU </w:t>
      </w:r>
      <w:r w:rsidR="00D9198D" w:rsidRPr="00582E71">
        <w:rPr>
          <w:bCs/>
        </w:rPr>
        <w:t>and,</w:t>
      </w:r>
      <w:r w:rsidR="008D5D36" w:rsidRPr="00582E71">
        <w:rPr>
          <w:bCs/>
        </w:rPr>
        <w:t xml:space="preserve"> </w:t>
      </w:r>
      <w:r w:rsidR="00D9198D" w:rsidRPr="00582E71">
        <w:rPr>
          <w:bCs/>
        </w:rPr>
        <w:t>f</w:t>
      </w:r>
      <w:r w:rsidR="008D5D36" w:rsidRPr="00582E71">
        <w:rPr>
          <w:bCs/>
        </w:rPr>
        <w:t>or avoidance of doubt, funds in a LG Abatement Fund may not be expended for costs, disbursements or payments made or incurred prior to the Settlement</w:t>
      </w:r>
      <w:r w:rsidR="00D9198D" w:rsidRPr="00582E71">
        <w:rPr>
          <w:bCs/>
        </w:rPr>
        <w:t>;</w:t>
      </w:r>
    </w:p>
    <w:p w14:paraId="570A0F34" w14:textId="77777777" w:rsidR="00D9198D" w:rsidRDefault="00D9198D" w:rsidP="00EA3FF0">
      <w:pPr>
        <w:jc w:val="both"/>
        <w:rPr>
          <w:bCs/>
        </w:rPr>
      </w:pPr>
    </w:p>
    <w:p w14:paraId="79E3FF58" w14:textId="6F8BF533" w:rsidR="00513F20" w:rsidRDefault="00D9198D" w:rsidP="008D5D36">
      <w:pPr>
        <w:ind w:firstLine="720"/>
        <w:jc w:val="both"/>
        <w:rPr>
          <w:bCs/>
        </w:rPr>
      </w:pPr>
      <w:r>
        <w:rPr>
          <w:b/>
        </w:rPr>
        <w:t>WHEREAS,</w:t>
      </w:r>
      <w:r w:rsidR="008D5D36" w:rsidRPr="00100E25">
        <w:rPr>
          <w:bCs/>
        </w:rPr>
        <w:t xml:space="preserve"> </w:t>
      </w:r>
      <w:r>
        <w:rPr>
          <w:bCs/>
        </w:rPr>
        <w:t>i</w:t>
      </w:r>
      <w:r w:rsidR="008D5D36" w:rsidRPr="00100E25">
        <w:rPr>
          <w:bCs/>
        </w:rPr>
        <w:t>f any</w:t>
      </w:r>
      <w:r w:rsidR="00EA3FF0">
        <w:rPr>
          <w:bCs/>
        </w:rPr>
        <w:t xml:space="preserve"> </w:t>
      </w:r>
      <w:r w:rsidR="008D5D36" w:rsidRPr="00100E25">
        <w:rPr>
          <w:bCs/>
        </w:rPr>
        <w:t xml:space="preserve">audit </w:t>
      </w:r>
      <w:r w:rsidR="00EA3FF0">
        <w:rPr>
          <w:bCs/>
        </w:rPr>
        <w:t xml:space="preserve">required by the Allocation MOU </w:t>
      </w:r>
      <w:r w:rsidR="008D5D36" w:rsidRPr="00100E25">
        <w:rPr>
          <w:bCs/>
        </w:rPr>
        <w:t>reveals an expenditure inconsistent with the terms of th</w:t>
      </w:r>
      <w:r>
        <w:rPr>
          <w:bCs/>
        </w:rPr>
        <w:t>e Allocation</w:t>
      </w:r>
      <w:r w:rsidR="008D5D36" w:rsidRPr="00100E25">
        <w:rPr>
          <w:bCs/>
        </w:rPr>
        <w:t xml:space="preserve"> MOU, the Participating Local Government shall immediately redirect the funds associated with the inconsistent expenditure to an Opioid Related Expenditure</w:t>
      </w:r>
      <w:r>
        <w:rPr>
          <w:bCs/>
        </w:rPr>
        <w:t>;</w:t>
      </w:r>
    </w:p>
    <w:p w14:paraId="79E3FF59" w14:textId="77777777" w:rsidR="000E7EC8" w:rsidRPr="000E7EC8" w:rsidRDefault="000E7EC8" w:rsidP="00A07453">
      <w:pPr>
        <w:jc w:val="both"/>
        <w:rPr>
          <w:bCs/>
        </w:rPr>
      </w:pPr>
    </w:p>
    <w:p w14:paraId="79E3FF6C" w14:textId="77777777" w:rsidR="007E33E6" w:rsidRDefault="007E33E6" w:rsidP="00072031">
      <w:pPr>
        <w:ind w:firstLine="720"/>
        <w:jc w:val="both"/>
      </w:pPr>
      <w:proofErr w:type="gramStart"/>
      <w:r>
        <w:rPr>
          <w:b/>
          <w:bCs/>
        </w:rPr>
        <w:t>WHEREAS,</w:t>
      </w:r>
      <w:proofErr w:type="gramEnd"/>
      <w:r>
        <w:rPr>
          <w:b/>
          <w:bCs/>
        </w:rPr>
        <w:t xml:space="preserve"> </w:t>
      </w:r>
      <w:r>
        <w:t>the County must comply annually with the reporting requirements in the Allocation MOU</w:t>
      </w:r>
      <w:r w:rsidR="00A337AE">
        <w:t>;</w:t>
      </w:r>
    </w:p>
    <w:p w14:paraId="79E3FF6D" w14:textId="77777777" w:rsidR="00B159F1" w:rsidRDefault="00B159F1" w:rsidP="00587D83">
      <w:pPr>
        <w:jc w:val="both"/>
        <w:rPr>
          <w:bCs/>
        </w:rPr>
      </w:pPr>
    </w:p>
    <w:p w14:paraId="79E3FF6E" w14:textId="226D36EC" w:rsidR="00584078" w:rsidRDefault="00584078" w:rsidP="00343FEE">
      <w:pPr>
        <w:ind w:firstLine="720"/>
        <w:jc w:val="both"/>
        <w:rPr>
          <w:bCs/>
        </w:rPr>
      </w:pPr>
      <w:r>
        <w:rPr>
          <w:b/>
          <w:bCs/>
        </w:rPr>
        <w:t>WHEREAS</w:t>
      </w:r>
      <w:r>
        <w:rPr>
          <w:bCs/>
        </w:rPr>
        <w:t xml:space="preserve">, </w:t>
      </w:r>
      <w:r w:rsidR="006C51EE">
        <w:rPr>
          <w:bCs/>
        </w:rPr>
        <w:t xml:space="preserve">if the </w:t>
      </w:r>
      <w:r>
        <w:rPr>
          <w:bCs/>
        </w:rPr>
        <w:t xml:space="preserve">County </w:t>
      </w:r>
      <w:r w:rsidR="006C51EE">
        <w:rPr>
          <w:bCs/>
        </w:rPr>
        <w:t xml:space="preserve">elects to become a </w:t>
      </w:r>
      <w:r>
        <w:rPr>
          <w:bCs/>
        </w:rPr>
        <w:t xml:space="preserve">Participating Subdivision in the Settlement Agreements </w:t>
      </w:r>
      <w:r w:rsidR="006C51EE">
        <w:rPr>
          <w:bCs/>
        </w:rPr>
        <w:t xml:space="preserve">it will receive the </w:t>
      </w:r>
      <w:r>
        <w:rPr>
          <w:bCs/>
        </w:rPr>
        <w:t xml:space="preserve">benefits associated with the Settlement Agreement </w:t>
      </w:r>
      <w:r w:rsidR="00B54AEA">
        <w:rPr>
          <w:bCs/>
        </w:rPr>
        <w:t xml:space="preserve">and the Allocation MOU, </w:t>
      </w:r>
      <w:r>
        <w:rPr>
          <w:bCs/>
        </w:rPr>
        <w:t xml:space="preserve">provided the County (a) approves the Settlement Agreements; (b) </w:t>
      </w:r>
      <w:r w:rsidR="006C51EE">
        <w:rPr>
          <w:bCs/>
        </w:rPr>
        <w:t>executes the Participation Agreement</w:t>
      </w:r>
      <w:r w:rsidR="00B54AEA">
        <w:rPr>
          <w:bCs/>
        </w:rPr>
        <w:t>s</w:t>
      </w:r>
      <w:r w:rsidR="006C51EE">
        <w:rPr>
          <w:bCs/>
        </w:rPr>
        <w:t xml:space="preserve"> stating the Count</w:t>
      </w:r>
      <w:r w:rsidR="00B54AEA">
        <w:rPr>
          <w:bCs/>
        </w:rPr>
        <w:t>y’s</w:t>
      </w:r>
      <w:r w:rsidR="006C51EE">
        <w:rPr>
          <w:bCs/>
        </w:rPr>
        <w:t xml:space="preserve"> intention to be bound by the Settlement </w:t>
      </w:r>
      <w:proofErr w:type="gramStart"/>
      <w:r w:rsidR="006C51EE">
        <w:rPr>
          <w:bCs/>
        </w:rPr>
        <w:t>Agreements;</w:t>
      </w:r>
      <w:proofErr w:type="gramEnd"/>
      <w:r w:rsidR="006C51EE">
        <w:rPr>
          <w:bCs/>
        </w:rPr>
        <w:t xml:space="preserve"> </w:t>
      </w:r>
    </w:p>
    <w:p w14:paraId="79E3FF6F" w14:textId="77777777" w:rsidR="00566C24" w:rsidRDefault="00566C24" w:rsidP="00EA2D5D">
      <w:pPr>
        <w:jc w:val="both"/>
        <w:rPr>
          <w:bCs/>
        </w:rPr>
      </w:pPr>
    </w:p>
    <w:p w14:paraId="79E3FF70" w14:textId="18E67F10" w:rsidR="006751E1" w:rsidRDefault="00D54883" w:rsidP="0074111F">
      <w:pPr>
        <w:ind w:firstLine="720"/>
        <w:jc w:val="both"/>
        <w:rPr>
          <w:bCs/>
        </w:rPr>
      </w:pPr>
      <w:proofErr w:type="gramStart"/>
      <w:r w:rsidRPr="00D54883">
        <w:rPr>
          <w:b/>
          <w:bCs/>
        </w:rPr>
        <w:t>WHEREAS</w:t>
      </w:r>
      <w:r>
        <w:rPr>
          <w:bCs/>
        </w:rPr>
        <w:t>,</w:t>
      </w:r>
      <w:proofErr w:type="gramEnd"/>
      <w:r>
        <w:rPr>
          <w:bCs/>
        </w:rPr>
        <w:t xml:space="preserve"> </w:t>
      </w:r>
      <w:r w:rsidR="00250A01" w:rsidRPr="00D54883">
        <w:rPr>
          <w:bCs/>
        </w:rPr>
        <w:t>the</w:t>
      </w:r>
      <w:r w:rsidR="00250A01">
        <w:rPr>
          <w:bCs/>
        </w:rPr>
        <w:t xml:space="preserve"> intent of this Resolution is to authorize the County</w:t>
      </w:r>
      <w:r w:rsidR="00E744B3">
        <w:rPr>
          <w:bCs/>
        </w:rPr>
        <w:t xml:space="preserve"> </w:t>
      </w:r>
      <w:r w:rsidR="00250A01">
        <w:rPr>
          <w:bCs/>
        </w:rPr>
        <w:t>to enter into the Settlement Agreements</w:t>
      </w:r>
      <w:r w:rsidR="00F16F8C">
        <w:rPr>
          <w:bCs/>
        </w:rPr>
        <w:t xml:space="preserve"> by executing the Participation Agreement</w:t>
      </w:r>
      <w:r w:rsidR="00EA2D5D">
        <w:rPr>
          <w:bCs/>
        </w:rPr>
        <w:t>s</w:t>
      </w:r>
      <w:r w:rsidR="00EA3FF0">
        <w:rPr>
          <w:bCs/>
        </w:rPr>
        <w:t>.</w:t>
      </w:r>
    </w:p>
    <w:p w14:paraId="79E3FF71" w14:textId="77777777" w:rsidR="00250A01" w:rsidRPr="006751E1" w:rsidRDefault="00250A01" w:rsidP="00343FEE">
      <w:pPr>
        <w:ind w:firstLine="720"/>
        <w:jc w:val="both"/>
        <w:rPr>
          <w:bCs/>
        </w:rPr>
      </w:pPr>
    </w:p>
    <w:p w14:paraId="79E3FF72" w14:textId="462E0EF1" w:rsidR="00E5089F" w:rsidRDefault="00250A01" w:rsidP="00343FEE">
      <w:pPr>
        <w:ind w:firstLine="720"/>
        <w:jc w:val="both"/>
        <w:rPr>
          <w:bCs/>
        </w:rPr>
      </w:pPr>
      <w:r>
        <w:rPr>
          <w:b/>
          <w:bCs/>
        </w:rPr>
        <w:t>NOW, THEREFORE, BE IT RESOLVED:</w:t>
      </w:r>
      <w:r>
        <w:rPr>
          <w:bCs/>
        </w:rPr>
        <w:t xml:space="preserve">  the County Board of </w:t>
      </w:r>
      <w:r w:rsidR="00FE7D76">
        <w:rPr>
          <w:bCs/>
        </w:rPr>
        <w:t>Supervisors</w:t>
      </w:r>
      <w:r>
        <w:rPr>
          <w:bCs/>
        </w:rPr>
        <w:t xml:space="preserve"> hereby approves</w:t>
      </w:r>
      <w:r w:rsidR="00FA5935">
        <w:rPr>
          <w:bCs/>
        </w:rPr>
        <w:t xml:space="preserve"> and authorizes </w:t>
      </w:r>
      <w:r w:rsidR="00471D83" w:rsidRPr="00471D83">
        <w:rPr>
          <w:bCs/>
          <w:highlight w:val="yellow"/>
        </w:rPr>
        <w:t>INSERT REPRESENTATIVE</w:t>
      </w:r>
      <w:r w:rsidR="00471D83">
        <w:rPr>
          <w:bCs/>
        </w:rPr>
        <w:t xml:space="preserve"> </w:t>
      </w:r>
      <w:r w:rsidR="00FA5935">
        <w:rPr>
          <w:bCs/>
        </w:rPr>
        <w:t xml:space="preserve">to settle </w:t>
      </w:r>
      <w:r w:rsidR="00EA2D5D">
        <w:rPr>
          <w:bCs/>
        </w:rPr>
        <w:t xml:space="preserve">and release </w:t>
      </w:r>
      <w:r w:rsidR="00FA5935">
        <w:rPr>
          <w:bCs/>
        </w:rPr>
        <w:t xml:space="preserve">the County’s claims </w:t>
      </w:r>
      <w:r w:rsidR="00EA2D5D">
        <w:rPr>
          <w:bCs/>
        </w:rPr>
        <w:t>against the Settling Defendants in exchange for the consideration set forth in the Settlement Agreements</w:t>
      </w:r>
      <w:r w:rsidR="00F55976">
        <w:rPr>
          <w:bCs/>
        </w:rPr>
        <w:t xml:space="preserve"> by taking the</w:t>
      </w:r>
      <w:r w:rsidR="00FA5935">
        <w:rPr>
          <w:bCs/>
        </w:rPr>
        <w:t xml:space="preserve"> following measures</w:t>
      </w:r>
      <w:r>
        <w:rPr>
          <w:bCs/>
        </w:rPr>
        <w:t>:</w:t>
      </w:r>
    </w:p>
    <w:p w14:paraId="79E3FF73" w14:textId="77777777" w:rsidR="00250A01" w:rsidRDefault="00250A01" w:rsidP="00343FEE">
      <w:pPr>
        <w:ind w:firstLine="720"/>
        <w:jc w:val="both"/>
        <w:rPr>
          <w:bCs/>
        </w:rPr>
      </w:pPr>
    </w:p>
    <w:p w14:paraId="79E3FF78" w14:textId="7B135CDD" w:rsidR="00250A01" w:rsidRDefault="00250A01" w:rsidP="00F31539">
      <w:pPr>
        <w:ind w:left="1440" w:hanging="720"/>
        <w:jc w:val="both"/>
        <w:rPr>
          <w:bCs/>
        </w:rPr>
      </w:pPr>
      <w:r>
        <w:rPr>
          <w:bCs/>
        </w:rPr>
        <w:t>1.</w:t>
      </w:r>
      <w:r>
        <w:rPr>
          <w:bCs/>
        </w:rPr>
        <w:tab/>
        <w:t>The execution</w:t>
      </w:r>
      <w:r w:rsidR="00D97F69">
        <w:rPr>
          <w:bCs/>
        </w:rPr>
        <w:t xml:space="preserve"> and delivery</w:t>
      </w:r>
      <w:r>
        <w:rPr>
          <w:bCs/>
        </w:rPr>
        <w:t xml:space="preserve"> of the </w:t>
      </w:r>
      <w:r w:rsidR="00FA5935">
        <w:rPr>
          <w:bCs/>
        </w:rPr>
        <w:t xml:space="preserve">Participation Agreement to the </w:t>
      </w:r>
      <w:r>
        <w:rPr>
          <w:bCs/>
        </w:rPr>
        <w:t>Settlement Agreement</w:t>
      </w:r>
      <w:r w:rsidR="00341BA5">
        <w:rPr>
          <w:bCs/>
        </w:rPr>
        <w:t>s</w:t>
      </w:r>
      <w:r>
        <w:rPr>
          <w:bCs/>
        </w:rPr>
        <w:t xml:space="preserve"> and any and all documents ancillary thereto.</w:t>
      </w:r>
    </w:p>
    <w:p w14:paraId="462A3563" w14:textId="5C4EF7C5" w:rsidR="00D97F69" w:rsidRDefault="00D97F69" w:rsidP="00250A01">
      <w:pPr>
        <w:ind w:left="1440" w:hanging="720"/>
        <w:jc w:val="both"/>
        <w:rPr>
          <w:bCs/>
        </w:rPr>
      </w:pPr>
    </w:p>
    <w:p w14:paraId="5C84347B" w14:textId="23086DE4" w:rsidR="00D97F69" w:rsidRDefault="00D97F69" w:rsidP="00250A01">
      <w:pPr>
        <w:ind w:left="1440" w:hanging="720"/>
        <w:jc w:val="both"/>
        <w:rPr>
          <w:bCs/>
        </w:rPr>
      </w:pPr>
      <w:r>
        <w:rPr>
          <w:bCs/>
        </w:rPr>
        <w:t>3.</w:t>
      </w:r>
      <w:r>
        <w:rPr>
          <w:bCs/>
        </w:rPr>
        <w:tab/>
        <w:t>The execution and delivery of any and all further and other documents necessary to effectuate the foregoing and the terms of this Resolution.</w:t>
      </w:r>
    </w:p>
    <w:p w14:paraId="79E3FF79" w14:textId="77777777" w:rsidR="00250A01" w:rsidRDefault="00250A01" w:rsidP="00250A01">
      <w:pPr>
        <w:ind w:left="1440" w:hanging="720"/>
        <w:jc w:val="both"/>
        <w:rPr>
          <w:bCs/>
        </w:rPr>
      </w:pPr>
    </w:p>
    <w:p w14:paraId="79E3FF7A" w14:textId="30D9ED59" w:rsidR="00F76DE8" w:rsidRPr="00E278FB" w:rsidRDefault="00F76DE8" w:rsidP="00F76DE8">
      <w:pPr>
        <w:ind w:firstLine="720"/>
        <w:jc w:val="both"/>
        <w:rPr>
          <w:bCs/>
        </w:rPr>
      </w:pPr>
      <w:r>
        <w:rPr>
          <w:b/>
          <w:bCs/>
        </w:rPr>
        <w:t>BE IT FURTHER RESOLVED:</w:t>
      </w:r>
      <w:r>
        <w:rPr>
          <w:bCs/>
        </w:rPr>
        <w:t xml:space="preserve">  the County </w:t>
      </w:r>
      <w:r w:rsidR="00D97F69">
        <w:rPr>
          <w:bCs/>
        </w:rPr>
        <w:t>shall deposit the LG Share in its account</w:t>
      </w:r>
      <w:r>
        <w:rPr>
          <w:bCs/>
        </w:rPr>
        <w:t xml:space="preserve"> titled “</w:t>
      </w:r>
      <w:r w:rsidR="002022F1">
        <w:rPr>
          <w:bCs/>
        </w:rPr>
        <w:t>LG Abatement Fund</w:t>
      </w:r>
      <w:r>
        <w:rPr>
          <w:bCs/>
        </w:rPr>
        <w:t>”</w:t>
      </w:r>
      <w:r w:rsidR="00446A38">
        <w:rPr>
          <w:bCs/>
        </w:rPr>
        <w:t xml:space="preserve"> to receive the </w:t>
      </w:r>
      <w:r w:rsidR="00A337AE">
        <w:rPr>
          <w:bCs/>
        </w:rPr>
        <w:t>LG Abatement Share</w:t>
      </w:r>
      <w:r w:rsidR="00446A38">
        <w:rPr>
          <w:bCs/>
        </w:rPr>
        <w:t xml:space="preserve"> from the Settlement Agreements.</w:t>
      </w:r>
      <w:r>
        <w:rPr>
          <w:bCs/>
        </w:rPr>
        <w:t xml:space="preserve">  </w:t>
      </w:r>
    </w:p>
    <w:p w14:paraId="79E3FF7B" w14:textId="77777777" w:rsidR="00F76DE8" w:rsidRPr="00E278FB" w:rsidRDefault="00F76DE8" w:rsidP="00446A38">
      <w:pPr>
        <w:jc w:val="both"/>
      </w:pPr>
    </w:p>
    <w:p w14:paraId="79E3FF7C" w14:textId="77777777" w:rsidR="00F76DE8" w:rsidRPr="00E278FB" w:rsidRDefault="00F76DE8" w:rsidP="00F76DE8">
      <w:pPr>
        <w:tabs>
          <w:tab w:val="num" w:pos="2160"/>
        </w:tabs>
        <w:autoSpaceDE w:val="0"/>
        <w:autoSpaceDN w:val="0"/>
        <w:adjustRightInd w:val="0"/>
        <w:ind w:firstLine="720"/>
        <w:jc w:val="both"/>
        <w:outlineLvl w:val="0"/>
        <w:rPr>
          <w:rFonts w:eastAsia="Times New Roman"/>
          <w:bCs/>
        </w:rPr>
      </w:pPr>
      <w:r w:rsidRPr="00E278FB">
        <w:rPr>
          <w:b/>
          <w:bCs/>
        </w:rPr>
        <w:t>BE IT FURTHER RESOLVED</w:t>
      </w:r>
      <w:r w:rsidRPr="00E278FB">
        <w:rPr>
          <w:bCs/>
        </w:rPr>
        <w:t xml:space="preserve"> </w:t>
      </w:r>
      <w:r w:rsidRPr="00E278FB">
        <w:rPr>
          <w:rFonts w:eastAsia="Times New Roman"/>
          <w:bCs/>
        </w:rPr>
        <w:t xml:space="preserve">that all actions heretofore taken by the Board of </w:t>
      </w:r>
      <w:r w:rsidR="00FE7D76">
        <w:rPr>
          <w:rFonts w:eastAsia="Times New Roman"/>
          <w:bCs/>
        </w:rPr>
        <w:t>Supervisors</w:t>
      </w:r>
      <w:r w:rsidRPr="00E278FB">
        <w:rPr>
          <w:rFonts w:eastAsia="Times New Roman"/>
          <w:bCs/>
        </w:rPr>
        <w:t xml:space="preserve"> and other appropriate public officers and agents of the County with respect to the matters contemplated under this Resolution are hereby ratified, confirmed and approved.</w:t>
      </w:r>
    </w:p>
    <w:p w14:paraId="79E3FF7D" w14:textId="77777777" w:rsidR="00FA5935" w:rsidRDefault="00FA5935" w:rsidP="00EA2D5D">
      <w:pPr>
        <w:tabs>
          <w:tab w:val="num" w:pos="2160"/>
        </w:tabs>
        <w:autoSpaceDE w:val="0"/>
        <w:autoSpaceDN w:val="0"/>
        <w:adjustRightInd w:val="0"/>
        <w:jc w:val="both"/>
        <w:outlineLvl w:val="0"/>
        <w:rPr>
          <w:b/>
          <w:bCs/>
        </w:rPr>
      </w:pPr>
    </w:p>
    <w:p w14:paraId="79E3FF7E" w14:textId="77777777" w:rsidR="005A0095" w:rsidRDefault="005A0095" w:rsidP="00343FEE">
      <w:pPr>
        <w:tabs>
          <w:tab w:val="num" w:pos="2160"/>
        </w:tabs>
        <w:autoSpaceDE w:val="0"/>
        <w:autoSpaceDN w:val="0"/>
        <w:adjustRightInd w:val="0"/>
        <w:ind w:firstLine="720"/>
        <w:jc w:val="both"/>
        <w:outlineLvl w:val="0"/>
      </w:pPr>
    </w:p>
    <w:p w14:paraId="79E3FF7F" w14:textId="3B28273C" w:rsidR="009D3988" w:rsidRDefault="005A0095" w:rsidP="005A0095">
      <w:pPr>
        <w:tabs>
          <w:tab w:val="num" w:pos="2160"/>
        </w:tabs>
        <w:autoSpaceDE w:val="0"/>
        <w:autoSpaceDN w:val="0"/>
        <w:adjustRightInd w:val="0"/>
        <w:jc w:val="both"/>
        <w:outlineLvl w:val="0"/>
      </w:pPr>
      <w:r>
        <w:t xml:space="preserve">Adopted by the </w:t>
      </w:r>
      <w:r w:rsidR="00CF11B1">
        <w:t>_______</w:t>
      </w:r>
      <w:r>
        <w:t xml:space="preserve"> County Board of </w:t>
      </w:r>
      <w:r w:rsidR="00FE7D76">
        <w:t>Supervisors</w:t>
      </w:r>
      <w:r>
        <w:t xml:space="preserve"> this </w:t>
      </w:r>
      <w:r w:rsidR="0046107F">
        <w:t>____</w:t>
      </w:r>
      <w:r>
        <w:t xml:space="preserve"> day of</w:t>
      </w:r>
      <w:r w:rsidR="0046107F">
        <w:t xml:space="preserve"> ____________, 2023</w:t>
      </w:r>
    </w:p>
    <w:p w14:paraId="79E3FF80" w14:textId="77777777" w:rsidR="009D3988" w:rsidRDefault="009D3988" w:rsidP="005A0095">
      <w:pPr>
        <w:tabs>
          <w:tab w:val="num" w:pos="2160"/>
        </w:tabs>
        <w:autoSpaceDE w:val="0"/>
        <w:autoSpaceDN w:val="0"/>
        <w:adjustRightInd w:val="0"/>
        <w:jc w:val="both"/>
        <w:outlineLvl w:val="0"/>
      </w:pPr>
    </w:p>
    <w:p w14:paraId="79E3FF81" w14:textId="77777777" w:rsidR="009D3988" w:rsidRDefault="009D3988" w:rsidP="005A0095">
      <w:pPr>
        <w:tabs>
          <w:tab w:val="num" w:pos="2160"/>
        </w:tabs>
        <w:autoSpaceDE w:val="0"/>
        <w:autoSpaceDN w:val="0"/>
        <w:adjustRightInd w:val="0"/>
        <w:jc w:val="both"/>
        <w:outlineLvl w:val="0"/>
      </w:pPr>
    </w:p>
    <w:p w14:paraId="79E3FF82" w14:textId="77777777" w:rsidR="009D3988" w:rsidRDefault="009D3988" w:rsidP="005A0095">
      <w:pPr>
        <w:tabs>
          <w:tab w:val="num" w:pos="2160"/>
        </w:tabs>
        <w:autoSpaceDE w:val="0"/>
        <w:autoSpaceDN w:val="0"/>
        <w:adjustRightInd w:val="0"/>
        <w:jc w:val="both"/>
        <w:outlineLvl w:val="0"/>
      </w:pPr>
      <w:r>
        <w:t>___________________________________</w:t>
      </w:r>
    </w:p>
    <w:p w14:paraId="79E3FF83" w14:textId="77777777" w:rsidR="009D3988" w:rsidRDefault="009D3988" w:rsidP="005A0095">
      <w:pPr>
        <w:tabs>
          <w:tab w:val="num" w:pos="2160"/>
        </w:tabs>
        <w:autoSpaceDE w:val="0"/>
        <w:autoSpaceDN w:val="0"/>
        <w:adjustRightInd w:val="0"/>
        <w:jc w:val="both"/>
        <w:outlineLvl w:val="0"/>
      </w:pPr>
      <w:r>
        <w:t>Board Chair</w:t>
      </w:r>
    </w:p>
    <w:p w14:paraId="79E3FF84" w14:textId="77777777" w:rsidR="005A0095" w:rsidRDefault="005A0095" w:rsidP="005A0095">
      <w:pPr>
        <w:tabs>
          <w:tab w:val="num" w:pos="2160"/>
        </w:tabs>
        <w:autoSpaceDE w:val="0"/>
        <w:autoSpaceDN w:val="0"/>
        <w:adjustRightInd w:val="0"/>
        <w:jc w:val="both"/>
        <w:outlineLvl w:val="0"/>
      </w:pPr>
    </w:p>
    <w:p w14:paraId="79E3FF85" w14:textId="77777777" w:rsidR="005A0095" w:rsidRDefault="005A0095" w:rsidP="005A0095">
      <w:pPr>
        <w:tabs>
          <w:tab w:val="num" w:pos="2160"/>
        </w:tabs>
        <w:autoSpaceDE w:val="0"/>
        <w:autoSpaceDN w:val="0"/>
        <w:adjustRightInd w:val="0"/>
        <w:jc w:val="both"/>
        <w:outlineLvl w:val="0"/>
      </w:pPr>
    </w:p>
    <w:p w14:paraId="69074BF0" w14:textId="57F92C20" w:rsidR="00D97F69" w:rsidRDefault="00D97F69" w:rsidP="005A0095">
      <w:pPr>
        <w:tabs>
          <w:tab w:val="num" w:pos="2160"/>
        </w:tabs>
        <w:autoSpaceDE w:val="0"/>
        <w:autoSpaceDN w:val="0"/>
        <w:adjustRightInd w:val="0"/>
        <w:jc w:val="both"/>
        <w:outlineLvl w:val="0"/>
      </w:pPr>
    </w:p>
    <w:p w14:paraId="0D1E9DB9" w14:textId="77777777" w:rsidR="00D97F69" w:rsidRDefault="00D97F69" w:rsidP="005A0095">
      <w:pPr>
        <w:tabs>
          <w:tab w:val="num" w:pos="2160"/>
        </w:tabs>
        <w:autoSpaceDE w:val="0"/>
        <w:autoSpaceDN w:val="0"/>
        <w:adjustRightInd w:val="0"/>
        <w:jc w:val="both"/>
        <w:outlineLvl w:val="0"/>
      </w:pPr>
    </w:p>
    <w:p w14:paraId="79E3FF87" w14:textId="77777777" w:rsidR="009D3988" w:rsidRDefault="009D3988" w:rsidP="005A0095">
      <w:pPr>
        <w:tabs>
          <w:tab w:val="num" w:pos="2160"/>
        </w:tabs>
        <w:autoSpaceDE w:val="0"/>
        <w:autoSpaceDN w:val="0"/>
        <w:adjustRightInd w:val="0"/>
        <w:jc w:val="both"/>
        <w:outlineLvl w:val="0"/>
      </w:pPr>
      <w:r>
        <w:t>ATTEST:</w:t>
      </w:r>
    </w:p>
    <w:p w14:paraId="79E3FF88" w14:textId="77777777" w:rsidR="009D3988" w:rsidRDefault="009D3988" w:rsidP="005A0095">
      <w:pPr>
        <w:tabs>
          <w:tab w:val="num" w:pos="2160"/>
        </w:tabs>
        <w:autoSpaceDE w:val="0"/>
        <w:autoSpaceDN w:val="0"/>
        <w:adjustRightInd w:val="0"/>
        <w:jc w:val="both"/>
        <w:outlineLvl w:val="0"/>
      </w:pPr>
    </w:p>
    <w:p w14:paraId="79E3FF89" w14:textId="77777777" w:rsidR="009D3988" w:rsidRDefault="009D3988" w:rsidP="005A0095">
      <w:pPr>
        <w:tabs>
          <w:tab w:val="num" w:pos="2160"/>
        </w:tabs>
        <w:autoSpaceDE w:val="0"/>
        <w:autoSpaceDN w:val="0"/>
        <w:adjustRightInd w:val="0"/>
        <w:jc w:val="both"/>
        <w:outlineLvl w:val="0"/>
      </w:pPr>
    </w:p>
    <w:p w14:paraId="79E3FF8A" w14:textId="77777777" w:rsidR="009D3988" w:rsidRDefault="009D3988" w:rsidP="005A0095">
      <w:pPr>
        <w:tabs>
          <w:tab w:val="num" w:pos="2160"/>
        </w:tabs>
        <w:autoSpaceDE w:val="0"/>
        <w:autoSpaceDN w:val="0"/>
        <w:adjustRightInd w:val="0"/>
        <w:jc w:val="both"/>
        <w:outlineLvl w:val="0"/>
      </w:pPr>
    </w:p>
    <w:p w14:paraId="79E3FF8B" w14:textId="77777777" w:rsidR="005A0095" w:rsidRDefault="005A0095" w:rsidP="005A0095">
      <w:pPr>
        <w:tabs>
          <w:tab w:val="num" w:pos="2160"/>
        </w:tabs>
        <w:autoSpaceDE w:val="0"/>
        <w:autoSpaceDN w:val="0"/>
        <w:adjustRightInd w:val="0"/>
        <w:jc w:val="both"/>
        <w:outlineLvl w:val="0"/>
      </w:pPr>
      <w:r>
        <w:t>___________________________________</w:t>
      </w:r>
    </w:p>
    <w:p w14:paraId="79E3FF8D" w14:textId="109A8606" w:rsidR="00343FEE" w:rsidRPr="00890DC3" w:rsidRDefault="003E455A" w:rsidP="00A27459">
      <w:pPr>
        <w:tabs>
          <w:tab w:val="num" w:pos="2160"/>
        </w:tabs>
        <w:autoSpaceDE w:val="0"/>
        <w:autoSpaceDN w:val="0"/>
        <w:adjustRightInd w:val="0"/>
        <w:jc w:val="both"/>
        <w:outlineLvl w:val="0"/>
      </w:pPr>
      <w:r>
        <w:t>County Auditor</w:t>
      </w:r>
    </w:p>
    <w:sectPr w:rsidR="00343FEE" w:rsidRPr="00890DC3" w:rsidSect="00A92994">
      <w:footerReference w:type="defaul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8C709" w14:textId="77777777" w:rsidR="00006904" w:rsidRDefault="00006904" w:rsidP="00A92994">
      <w:r>
        <w:separator/>
      </w:r>
    </w:p>
  </w:endnote>
  <w:endnote w:type="continuationSeparator" w:id="0">
    <w:p w14:paraId="33D42627" w14:textId="77777777" w:rsidR="00006904" w:rsidRDefault="00006904" w:rsidP="00A9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6265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E3FF96" w14:textId="77777777" w:rsidR="00A92994" w:rsidRDefault="00A9299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352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9E3FF97" w14:textId="77777777" w:rsidR="00A92994" w:rsidRDefault="00A929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8B7C0" w14:textId="77777777" w:rsidR="00006904" w:rsidRDefault="00006904" w:rsidP="00A92994">
      <w:r>
        <w:separator/>
      </w:r>
    </w:p>
  </w:footnote>
  <w:footnote w:type="continuationSeparator" w:id="0">
    <w:p w14:paraId="1F6B5885" w14:textId="77777777" w:rsidR="00006904" w:rsidRDefault="00006904" w:rsidP="00A92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021D"/>
    <w:multiLevelType w:val="hybridMultilevel"/>
    <w:tmpl w:val="847C3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6978B1"/>
    <w:multiLevelType w:val="hybridMultilevel"/>
    <w:tmpl w:val="847C32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5741194">
    <w:abstractNumId w:val="0"/>
  </w:num>
  <w:num w:numId="2" w16cid:durableId="500580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BD"/>
    <w:rsid w:val="00001589"/>
    <w:rsid w:val="00006904"/>
    <w:rsid w:val="0001144E"/>
    <w:rsid w:val="00012596"/>
    <w:rsid w:val="00021136"/>
    <w:rsid w:val="0003430D"/>
    <w:rsid w:val="000428C9"/>
    <w:rsid w:val="000541BA"/>
    <w:rsid w:val="00054549"/>
    <w:rsid w:val="00056029"/>
    <w:rsid w:val="00061DD5"/>
    <w:rsid w:val="00072031"/>
    <w:rsid w:val="0007362C"/>
    <w:rsid w:val="0007389F"/>
    <w:rsid w:val="00074C06"/>
    <w:rsid w:val="00082DE1"/>
    <w:rsid w:val="000A0813"/>
    <w:rsid w:val="000A435D"/>
    <w:rsid w:val="000B6F04"/>
    <w:rsid w:val="000B72A6"/>
    <w:rsid w:val="000D196C"/>
    <w:rsid w:val="000D283D"/>
    <w:rsid w:val="000D4864"/>
    <w:rsid w:val="000D6CEC"/>
    <w:rsid w:val="000E29C5"/>
    <w:rsid w:val="000E40E2"/>
    <w:rsid w:val="000E5B4B"/>
    <w:rsid w:val="000E7513"/>
    <w:rsid w:val="000E7EC8"/>
    <w:rsid w:val="000F6654"/>
    <w:rsid w:val="00100E25"/>
    <w:rsid w:val="00101025"/>
    <w:rsid w:val="00103A00"/>
    <w:rsid w:val="0011313B"/>
    <w:rsid w:val="001314CD"/>
    <w:rsid w:val="00131D34"/>
    <w:rsid w:val="00132CBC"/>
    <w:rsid w:val="00133A80"/>
    <w:rsid w:val="001340F7"/>
    <w:rsid w:val="001428A8"/>
    <w:rsid w:val="00147321"/>
    <w:rsid w:val="00160E78"/>
    <w:rsid w:val="0016320A"/>
    <w:rsid w:val="001741FA"/>
    <w:rsid w:val="001A0F8A"/>
    <w:rsid w:val="001A4618"/>
    <w:rsid w:val="001B33CE"/>
    <w:rsid w:val="001B50F9"/>
    <w:rsid w:val="001C38D5"/>
    <w:rsid w:val="001C49D0"/>
    <w:rsid w:val="001D69EF"/>
    <w:rsid w:val="001E20E9"/>
    <w:rsid w:val="001E7090"/>
    <w:rsid w:val="001F214A"/>
    <w:rsid w:val="0020033A"/>
    <w:rsid w:val="002022F1"/>
    <w:rsid w:val="00236D87"/>
    <w:rsid w:val="00242FFA"/>
    <w:rsid w:val="00247228"/>
    <w:rsid w:val="00250A01"/>
    <w:rsid w:val="002515D9"/>
    <w:rsid w:val="00276DFE"/>
    <w:rsid w:val="00283470"/>
    <w:rsid w:val="0028701D"/>
    <w:rsid w:val="00287295"/>
    <w:rsid w:val="0028780A"/>
    <w:rsid w:val="00295296"/>
    <w:rsid w:val="002B1FC0"/>
    <w:rsid w:val="002B399F"/>
    <w:rsid w:val="002C2AFF"/>
    <w:rsid w:val="002D3A87"/>
    <w:rsid w:val="002E018C"/>
    <w:rsid w:val="002E53D7"/>
    <w:rsid w:val="002F0940"/>
    <w:rsid w:val="00314D94"/>
    <w:rsid w:val="00317302"/>
    <w:rsid w:val="003221CF"/>
    <w:rsid w:val="00330853"/>
    <w:rsid w:val="00341BA5"/>
    <w:rsid w:val="00343FEE"/>
    <w:rsid w:val="003568CD"/>
    <w:rsid w:val="003600BD"/>
    <w:rsid w:val="003612B5"/>
    <w:rsid w:val="00396D20"/>
    <w:rsid w:val="00397C39"/>
    <w:rsid w:val="003A656A"/>
    <w:rsid w:val="003C045C"/>
    <w:rsid w:val="003D401D"/>
    <w:rsid w:val="003D6DC7"/>
    <w:rsid w:val="003E3DD0"/>
    <w:rsid w:val="003E455A"/>
    <w:rsid w:val="003F350D"/>
    <w:rsid w:val="003F774C"/>
    <w:rsid w:val="00400135"/>
    <w:rsid w:val="00416EEE"/>
    <w:rsid w:val="00420678"/>
    <w:rsid w:val="00424F13"/>
    <w:rsid w:val="00446583"/>
    <w:rsid w:val="00446A38"/>
    <w:rsid w:val="00457829"/>
    <w:rsid w:val="0046107F"/>
    <w:rsid w:val="004669C7"/>
    <w:rsid w:val="00471A89"/>
    <w:rsid w:val="00471B77"/>
    <w:rsid w:val="00471D83"/>
    <w:rsid w:val="00473BB3"/>
    <w:rsid w:val="00480073"/>
    <w:rsid w:val="004860F8"/>
    <w:rsid w:val="00490AB5"/>
    <w:rsid w:val="00493654"/>
    <w:rsid w:val="004A32A2"/>
    <w:rsid w:val="004A5A78"/>
    <w:rsid w:val="004B2FAD"/>
    <w:rsid w:val="004B34CD"/>
    <w:rsid w:val="004B7748"/>
    <w:rsid w:val="004B7985"/>
    <w:rsid w:val="004C7496"/>
    <w:rsid w:val="004E6B73"/>
    <w:rsid w:val="005067CD"/>
    <w:rsid w:val="00513F20"/>
    <w:rsid w:val="0051744C"/>
    <w:rsid w:val="00517AA7"/>
    <w:rsid w:val="005360F2"/>
    <w:rsid w:val="00537607"/>
    <w:rsid w:val="00553A6D"/>
    <w:rsid w:val="00560F7A"/>
    <w:rsid w:val="00564539"/>
    <w:rsid w:val="00566C24"/>
    <w:rsid w:val="005805D3"/>
    <w:rsid w:val="00582E71"/>
    <w:rsid w:val="00583312"/>
    <w:rsid w:val="00584078"/>
    <w:rsid w:val="00587D83"/>
    <w:rsid w:val="005A0095"/>
    <w:rsid w:val="005B097F"/>
    <w:rsid w:val="005B23AC"/>
    <w:rsid w:val="005B3529"/>
    <w:rsid w:val="005D3F99"/>
    <w:rsid w:val="005F6459"/>
    <w:rsid w:val="005F6805"/>
    <w:rsid w:val="0060306E"/>
    <w:rsid w:val="00604DB9"/>
    <w:rsid w:val="006106E7"/>
    <w:rsid w:val="00610BB5"/>
    <w:rsid w:val="00611461"/>
    <w:rsid w:val="00620E15"/>
    <w:rsid w:val="00635240"/>
    <w:rsid w:val="0063579A"/>
    <w:rsid w:val="00646610"/>
    <w:rsid w:val="0064674E"/>
    <w:rsid w:val="00647E94"/>
    <w:rsid w:val="00651388"/>
    <w:rsid w:val="00652ED6"/>
    <w:rsid w:val="00661CB0"/>
    <w:rsid w:val="00672133"/>
    <w:rsid w:val="006727B6"/>
    <w:rsid w:val="006751E1"/>
    <w:rsid w:val="00684960"/>
    <w:rsid w:val="00694C27"/>
    <w:rsid w:val="00697252"/>
    <w:rsid w:val="006A27C1"/>
    <w:rsid w:val="006B0D40"/>
    <w:rsid w:val="006C51EE"/>
    <w:rsid w:val="006E26DC"/>
    <w:rsid w:val="006E3904"/>
    <w:rsid w:val="006E5290"/>
    <w:rsid w:val="006E5AE5"/>
    <w:rsid w:val="006F0DCD"/>
    <w:rsid w:val="006F19D8"/>
    <w:rsid w:val="006F4C7F"/>
    <w:rsid w:val="00704DCE"/>
    <w:rsid w:val="00717680"/>
    <w:rsid w:val="00725ED4"/>
    <w:rsid w:val="00731347"/>
    <w:rsid w:val="007361C9"/>
    <w:rsid w:val="00740021"/>
    <w:rsid w:val="0074111F"/>
    <w:rsid w:val="00754B79"/>
    <w:rsid w:val="007654A4"/>
    <w:rsid w:val="0077769F"/>
    <w:rsid w:val="00782F8F"/>
    <w:rsid w:val="00791637"/>
    <w:rsid w:val="007A29EB"/>
    <w:rsid w:val="007B6619"/>
    <w:rsid w:val="007B7835"/>
    <w:rsid w:val="007C109D"/>
    <w:rsid w:val="007C11E1"/>
    <w:rsid w:val="007C2BFB"/>
    <w:rsid w:val="007D13C8"/>
    <w:rsid w:val="007D26EC"/>
    <w:rsid w:val="007E02A1"/>
    <w:rsid w:val="007E1905"/>
    <w:rsid w:val="007E33E6"/>
    <w:rsid w:val="007F124B"/>
    <w:rsid w:val="007F37D0"/>
    <w:rsid w:val="007F66AA"/>
    <w:rsid w:val="00801609"/>
    <w:rsid w:val="008213AE"/>
    <w:rsid w:val="00824F49"/>
    <w:rsid w:val="00831271"/>
    <w:rsid w:val="00833469"/>
    <w:rsid w:val="00833D83"/>
    <w:rsid w:val="0083587E"/>
    <w:rsid w:val="00845DD8"/>
    <w:rsid w:val="00870C66"/>
    <w:rsid w:val="00890DC3"/>
    <w:rsid w:val="0089136A"/>
    <w:rsid w:val="008A297F"/>
    <w:rsid w:val="008B4516"/>
    <w:rsid w:val="008D2746"/>
    <w:rsid w:val="008D5D36"/>
    <w:rsid w:val="008E5707"/>
    <w:rsid w:val="008E65A1"/>
    <w:rsid w:val="008E6B00"/>
    <w:rsid w:val="008E7BBC"/>
    <w:rsid w:val="00900F3E"/>
    <w:rsid w:val="009047E7"/>
    <w:rsid w:val="00916CA1"/>
    <w:rsid w:val="00930198"/>
    <w:rsid w:val="00936AC7"/>
    <w:rsid w:val="00937251"/>
    <w:rsid w:val="009424F5"/>
    <w:rsid w:val="00945F3A"/>
    <w:rsid w:val="00954434"/>
    <w:rsid w:val="00954C18"/>
    <w:rsid w:val="009724CA"/>
    <w:rsid w:val="00974F55"/>
    <w:rsid w:val="0097723B"/>
    <w:rsid w:val="00982676"/>
    <w:rsid w:val="0099302D"/>
    <w:rsid w:val="00994C5B"/>
    <w:rsid w:val="009A227A"/>
    <w:rsid w:val="009A2D06"/>
    <w:rsid w:val="009B7894"/>
    <w:rsid w:val="009C04BD"/>
    <w:rsid w:val="009C11A0"/>
    <w:rsid w:val="009C7499"/>
    <w:rsid w:val="009D3988"/>
    <w:rsid w:val="009D3BAE"/>
    <w:rsid w:val="009D4518"/>
    <w:rsid w:val="009D4EB4"/>
    <w:rsid w:val="009D6733"/>
    <w:rsid w:val="009E08F3"/>
    <w:rsid w:val="009F029F"/>
    <w:rsid w:val="00A01F53"/>
    <w:rsid w:val="00A07453"/>
    <w:rsid w:val="00A078CA"/>
    <w:rsid w:val="00A1037F"/>
    <w:rsid w:val="00A16F9F"/>
    <w:rsid w:val="00A27459"/>
    <w:rsid w:val="00A330D8"/>
    <w:rsid w:val="00A337AE"/>
    <w:rsid w:val="00A43CF1"/>
    <w:rsid w:val="00A43FD9"/>
    <w:rsid w:val="00A45B75"/>
    <w:rsid w:val="00A55E71"/>
    <w:rsid w:val="00A6359A"/>
    <w:rsid w:val="00A67289"/>
    <w:rsid w:val="00A71F32"/>
    <w:rsid w:val="00A857CA"/>
    <w:rsid w:val="00A92994"/>
    <w:rsid w:val="00AA4C2A"/>
    <w:rsid w:val="00AA65A6"/>
    <w:rsid w:val="00AA7339"/>
    <w:rsid w:val="00AC1A6F"/>
    <w:rsid w:val="00AD0021"/>
    <w:rsid w:val="00AD37EB"/>
    <w:rsid w:val="00AE221A"/>
    <w:rsid w:val="00AF657D"/>
    <w:rsid w:val="00B02A39"/>
    <w:rsid w:val="00B0684A"/>
    <w:rsid w:val="00B06B59"/>
    <w:rsid w:val="00B07DA7"/>
    <w:rsid w:val="00B159F1"/>
    <w:rsid w:val="00B2424D"/>
    <w:rsid w:val="00B479D8"/>
    <w:rsid w:val="00B53399"/>
    <w:rsid w:val="00B54AEA"/>
    <w:rsid w:val="00B85B19"/>
    <w:rsid w:val="00B92793"/>
    <w:rsid w:val="00B94AAF"/>
    <w:rsid w:val="00B9720C"/>
    <w:rsid w:val="00BC2B9F"/>
    <w:rsid w:val="00BE0749"/>
    <w:rsid w:val="00BE5567"/>
    <w:rsid w:val="00BF6FE6"/>
    <w:rsid w:val="00C04EFB"/>
    <w:rsid w:val="00C15EEF"/>
    <w:rsid w:val="00C33B17"/>
    <w:rsid w:val="00C5398B"/>
    <w:rsid w:val="00C617A8"/>
    <w:rsid w:val="00C71262"/>
    <w:rsid w:val="00C76C1D"/>
    <w:rsid w:val="00C77340"/>
    <w:rsid w:val="00C854AB"/>
    <w:rsid w:val="00C90AB0"/>
    <w:rsid w:val="00C92021"/>
    <w:rsid w:val="00CA278B"/>
    <w:rsid w:val="00CC73C3"/>
    <w:rsid w:val="00CD4B8B"/>
    <w:rsid w:val="00CD7E7B"/>
    <w:rsid w:val="00CE0BC2"/>
    <w:rsid w:val="00CE39AF"/>
    <w:rsid w:val="00CF0484"/>
    <w:rsid w:val="00CF11B1"/>
    <w:rsid w:val="00CF24FF"/>
    <w:rsid w:val="00CF2B96"/>
    <w:rsid w:val="00D01A1D"/>
    <w:rsid w:val="00D06653"/>
    <w:rsid w:val="00D251B6"/>
    <w:rsid w:val="00D25717"/>
    <w:rsid w:val="00D35228"/>
    <w:rsid w:val="00D4213C"/>
    <w:rsid w:val="00D42D95"/>
    <w:rsid w:val="00D50CA8"/>
    <w:rsid w:val="00D54883"/>
    <w:rsid w:val="00D54C0D"/>
    <w:rsid w:val="00D60D32"/>
    <w:rsid w:val="00D71E8E"/>
    <w:rsid w:val="00D74EE2"/>
    <w:rsid w:val="00D8746F"/>
    <w:rsid w:val="00D9198D"/>
    <w:rsid w:val="00D94F97"/>
    <w:rsid w:val="00D97F69"/>
    <w:rsid w:val="00DC156E"/>
    <w:rsid w:val="00DC3E16"/>
    <w:rsid w:val="00DD11BE"/>
    <w:rsid w:val="00DF3BA8"/>
    <w:rsid w:val="00E00845"/>
    <w:rsid w:val="00E04B08"/>
    <w:rsid w:val="00E10F8C"/>
    <w:rsid w:val="00E14215"/>
    <w:rsid w:val="00E20AD7"/>
    <w:rsid w:val="00E33F28"/>
    <w:rsid w:val="00E5089F"/>
    <w:rsid w:val="00E72AFF"/>
    <w:rsid w:val="00E740DB"/>
    <w:rsid w:val="00E744B3"/>
    <w:rsid w:val="00E8231A"/>
    <w:rsid w:val="00E84F48"/>
    <w:rsid w:val="00E85A48"/>
    <w:rsid w:val="00E95D3A"/>
    <w:rsid w:val="00E968F9"/>
    <w:rsid w:val="00EA1D63"/>
    <w:rsid w:val="00EA2D5D"/>
    <w:rsid w:val="00EA3FF0"/>
    <w:rsid w:val="00EA6134"/>
    <w:rsid w:val="00EB4ED4"/>
    <w:rsid w:val="00EC21AE"/>
    <w:rsid w:val="00EC4560"/>
    <w:rsid w:val="00EE65E4"/>
    <w:rsid w:val="00F01072"/>
    <w:rsid w:val="00F0531F"/>
    <w:rsid w:val="00F153B8"/>
    <w:rsid w:val="00F16D9E"/>
    <w:rsid w:val="00F16F8C"/>
    <w:rsid w:val="00F31539"/>
    <w:rsid w:val="00F432FC"/>
    <w:rsid w:val="00F47C04"/>
    <w:rsid w:val="00F55976"/>
    <w:rsid w:val="00F67A47"/>
    <w:rsid w:val="00F76DE8"/>
    <w:rsid w:val="00F8128E"/>
    <w:rsid w:val="00F86F59"/>
    <w:rsid w:val="00FA19CC"/>
    <w:rsid w:val="00FA5935"/>
    <w:rsid w:val="00FA6C71"/>
    <w:rsid w:val="00FB338C"/>
    <w:rsid w:val="00FB5337"/>
    <w:rsid w:val="00FC281B"/>
    <w:rsid w:val="00FD62DC"/>
    <w:rsid w:val="00FE5373"/>
    <w:rsid w:val="00FE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E3FF34"/>
  <w15:docId w15:val="{8AA0B587-463A-447D-A0CF-60F81A890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04B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Normal 12pt After"/>
    <w:qFormat/>
    <w:rsid w:val="00DC156E"/>
    <w:pPr>
      <w:spacing w:after="240" w:line="240" w:lineRule="auto"/>
      <w:jc w:val="both"/>
    </w:pPr>
    <w:rPr>
      <w:rFonts w:ascii="Times New Roman" w:eastAsiaTheme="minorEastAsia" w:hAnsi="Times New Roman"/>
      <w:color w:val="000000" w:themeColor="text1"/>
      <w:sz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B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B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929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2994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29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2994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E5567"/>
    <w:pPr>
      <w:ind w:left="720"/>
      <w:contextualSpacing/>
    </w:pPr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3E4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45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455A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4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455A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E455A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5E848C5FE3F42A4B080A5C71423DD" ma:contentTypeVersion="13" ma:contentTypeDescription="Create a new document." ma:contentTypeScope="" ma:versionID="641a15d79f82c4d699a8e97a0421e095">
  <xsd:schema xmlns:xsd="http://www.w3.org/2001/XMLSchema" xmlns:xs="http://www.w3.org/2001/XMLSchema" xmlns:p="http://schemas.microsoft.com/office/2006/metadata/properties" xmlns:ns2="6a7dbcb4-3a3a-4bd8-9652-c7413d6b8667" xmlns:ns3="65808c20-3762-4318-b6e1-427dcbf02f31" targetNamespace="http://schemas.microsoft.com/office/2006/metadata/properties" ma:root="true" ma:fieldsID="25585e570503628aef5b3479c3670ef3" ns2:_="" ns3:_="">
    <xsd:import namespace="6a7dbcb4-3a3a-4bd8-9652-c7413d6b8667"/>
    <xsd:import namespace="65808c20-3762-4318-b6e1-427dcbf02f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dbcb4-3a3a-4bd8-9652-c7413d6b86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08c20-3762-4318-b6e1-427dcbf02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7448E9-BFE1-4D1A-B848-7ECCE23FEF9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15F42C-A6AE-4105-9BD9-2AF2EDAF63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dbcb4-3a3a-4bd8-9652-c7413d6b8667"/>
    <ds:schemaRef ds:uri="65808c20-3762-4318-b6e1-427dcbf02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421721-BBD4-4B77-9D73-0368BD4A72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1091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von Briesen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 J. Conard</dc:creator>
  <cp:keywords/>
  <dc:description/>
  <cp:lastModifiedBy>Bill Peterson</cp:lastModifiedBy>
  <cp:revision>2</cp:revision>
  <cp:lastPrinted>2021-11-08T23:50:00Z</cp:lastPrinted>
  <dcterms:created xsi:type="dcterms:W3CDTF">2023-03-17T13:13:00Z</dcterms:created>
  <dcterms:modified xsi:type="dcterms:W3CDTF">2023-03-17T13:13:00Z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0x01010094A5E848C5FE3F42A4B080A5C71423DD</vt:lpwstr>
  </property>
  <property fmtid="{D5CDD505-2E9C-101B-9397-08002B2CF9AE}" pid="3" name="SaveLocal">
    <vt:bool>true</vt:bool>
  </property>
</Properties>
</file>