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586F" w14:textId="77777777" w:rsidR="00C33B17" w:rsidRPr="00890DC3" w:rsidRDefault="00C33B17" w:rsidP="00F16F8C">
      <w:pPr>
        <w:autoSpaceDE w:val="0"/>
        <w:autoSpaceDN w:val="0"/>
        <w:adjustRightInd w:val="0"/>
        <w:rPr>
          <w:b/>
          <w:bCs/>
        </w:rPr>
      </w:pPr>
    </w:p>
    <w:p w14:paraId="0EA587B9" w14:textId="3C8CEDE0" w:rsidR="009C04BD" w:rsidRDefault="009C04BD" w:rsidP="009C04BD">
      <w:pPr>
        <w:autoSpaceDE w:val="0"/>
        <w:autoSpaceDN w:val="0"/>
        <w:adjustRightInd w:val="0"/>
        <w:jc w:val="center"/>
        <w:rPr>
          <w:b/>
          <w:bCs/>
        </w:rPr>
      </w:pPr>
      <w:r w:rsidRPr="00890DC3">
        <w:rPr>
          <w:b/>
          <w:bCs/>
        </w:rPr>
        <w:t>RESOLUTION NO. _______</w:t>
      </w:r>
    </w:p>
    <w:p w14:paraId="46DD8A61" w14:textId="77777777" w:rsidR="0028780A" w:rsidRPr="00890DC3" w:rsidRDefault="0028780A" w:rsidP="009C04BD">
      <w:pPr>
        <w:autoSpaceDE w:val="0"/>
        <w:autoSpaceDN w:val="0"/>
        <w:adjustRightInd w:val="0"/>
        <w:jc w:val="center"/>
        <w:rPr>
          <w:b/>
          <w:bCs/>
        </w:rPr>
      </w:pPr>
    </w:p>
    <w:p w14:paraId="679FB950" w14:textId="09E04F54" w:rsidR="0028701D" w:rsidRPr="00890DC3" w:rsidRDefault="0028701D" w:rsidP="00132CBC">
      <w:pPr>
        <w:autoSpaceDE w:val="0"/>
        <w:autoSpaceDN w:val="0"/>
        <w:adjustRightInd w:val="0"/>
        <w:jc w:val="center"/>
        <w:rPr>
          <w:bCs/>
          <w:i/>
        </w:rPr>
      </w:pPr>
      <w:r w:rsidRPr="00890DC3">
        <w:rPr>
          <w:bCs/>
          <w:i/>
        </w:rPr>
        <w:t xml:space="preserve">Authorizing </w:t>
      </w:r>
      <w:r w:rsidR="003D6DC7" w:rsidRPr="002022F1">
        <w:rPr>
          <w:bCs/>
          <w:iCs/>
          <w:highlight w:val="yellow"/>
        </w:rPr>
        <w:t>[INSERT GOVERNMENT ENTITY]</w:t>
      </w:r>
      <w:r w:rsidR="00132CBC">
        <w:rPr>
          <w:bCs/>
          <w:i/>
        </w:rPr>
        <w:t xml:space="preserve"> to Enter </w:t>
      </w:r>
      <w:r w:rsidR="00D71E8E">
        <w:rPr>
          <w:bCs/>
          <w:i/>
        </w:rPr>
        <w:t>i</w:t>
      </w:r>
      <w:r w:rsidR="00132CBC">
        <w:rPr>
          <w:bCs/>
          <w:i/>
        </w:rPr>
        <w:t xml:space="preserve">nto Settlement Agreements with McKesson Corporation, Cardinal Health, Inc., AmerisourceBergen Corporation, Johnson &amp; Johnson, Janssen Pharmaceuticals, Inc., Ortho-McNeil-Janssen Pharmaceuticals, Inc., and Janssen </w:t>
      </w:r>
      <w:proofErr w:type="spellStart"/>
      <w:r w:rsidR="00132CBC">
        <w:rPr>
          <w:bCs/>
          <w:i/>
        </w:rPr>
        <w:t>Pharmaceuitca</w:t>
      </w:r>
      <w:proofErr w:type="spellEnd"/>
      <w:r w:rsidR="00132CBC">
        <w:rPr>
          <w:bCs/>
          <w:i/>
        </w:rPr>
        <w:t xml:space="preserve">, Inc., Agree to the Terms of </w:t>
      </w:r>
      <w:r w:rsidR="001F214A">
        <w:rPr>
          <w:bCs/>
          <w:i/>
        </w:rPr>
        <w:t xml:space="preserve">the </w:t>
      </w:r>
      <w:r w:rsidR="00C90AB0">
        <w:rPr>
          <w:bCs/>
          <w:i/>
        </w:rPr>
        <w:t>Iowa</w:t>
      </w:r>
      <w:r w:rsidR="00446A38" w:rsidRPr="00446A38">
        <w:rPr>
          <w:bCs/>
          <w:i/>
        </w:rPr>
        <w:t xml:space="preserve"> </w:t>
      </w:r>
      <w:r w:rsidR="001F214A">
        <w:rPr>
          <w:bCs/>
          <w:i/>
        </w:rPr>
        <w:t xml:space="preserve">Opioid Allocation </w:t>
      </w:r>
      <w:r w:rsidR="00446A38" w:rsidRPr="00446A38">
        <w:rPr>
          <w:bCs/>
          <w:i/>
        </w:rPr>
        <w:t xml:space="preserve">Memorandum of Understanding </w:t>
      </w:r>
      <w:r w:rsidR="00132CBC">
        <w:rPr>
          <w:bCs/>
          <w:i/>
        </w:rPr>
        <w:t>and Authorize Entry Into th</w:t>
      </w:r>
      <w:r w:rsidR="00C92021">
        <w:rPr>
          <w:bCs/>
          <w:i/>
        </w:rPr>
        <w:t>at</w:t>
      </w:r>
      <w:r w:rsidR="00132CBC">
        <w:rPr>
          <w:bCs/>
          <w:i/>
        </w:rPr>
        <w:t xml:space="preserve"> </w:t>
      </w:r>
      <w:r w:rsidR="001F214A">
        <w:rPr>
          <w:bCs/>
          <w:i/>
        </w:rPr>
        <w:t>Memor</w:t>
      </w:r>
      <w:r w:rsidR="00CD4B8B">
        <w:rPr>
          <w:bCs/>
          <w:i/>
        </w:rPr>
        <w:t>andum of Understanding</w:t>
      </w:r>
    </w:p>
    <w:p w14:paraId="7595157D" w14:textId="77777777" w:rsidR="009C04BD" w:rsidRPr="00890DC3" w:rsidRDefault="009C04BD" w:rsidP="009C04BD">
      <w:pPr>
        <w:autoSpaceDE w:val="0"/>
        <w:autoSpaceDN w:val="0"/>
        <w:adjustRightInd w:val="0"/>
        <w:rPr>
          <w:bCs/>
        </w:rPr>
      </w:pPr>
    </w:p>
    <w:p w14:paraId="587FC78F" w14:textId="02C14E85" w:rsidR="00E5089F" w:rsidRDefault="009C04BD" w:rsidP="00343FEE">
      <w:pPr>
        <w:ind w:firstLine="720"/>
        <w:jc w:val="both"/>
        <w:rPr>
          <w:bCs/>
        </w:rPr>
      </w:pPr>
      <w:r w:rsidRPr="00890DC3">
        <w:rPr>
          <w:b/>
          <w:bCs/>
        </w:rPr>
        <w:t>WHEREAS</w:t>
      </w:r>
      <w:r w:rsidRPr="00890DC3">
        <w:rPr>
          <w:bCs/>
        </w:rPr>
        <w:t xml:space="preserve">, in </w:t>
      </w:r>
      <w:r w:rsidR="007C2BFB">
        <w:rPr>
          <w:bCs/>
        </w:rPr>
        <w:t>2018,</w:t>
      </w:r>
      <w:r w:rsidR="00FA5935">
        <w:rPr>
          <w:bCs/>
        </w:rPr>
        <w:t xml:space="preserve"> </w:t>
      </w:r>
      <w:r w:rsidR="00E5089F">
        <w:rPr>
          <w:bCs/>
        </w:rPr>
        <w:t xml:space="preserve">the </w:t>
      </w:r>
      <w:r w:rsidR="00250A01">
        <w:rPr>
          <w:bCs/>
        </w:rPr>
        <w:t>County</w:t>
      </w:r>
      <w:r w:rsidR="00E5089F">
        <w:rPr>
          <w:bCs/>
        </w:rPr>
        <w:t xml:space="preserve"> Board of </w:t>
      </w:r>
      <w:r w:rsidR="00FE7D76">
        <w:rPr>
          <w:bCs/>
        </w:rPr>
        <w:t>Supervisors</w:t>
      </w:r>
      <w:r w:rsidR="00E5089F">
        <w:rPr>
          <w:bCs/>
        </w:rPr>
        <w:t xml:space="preserve"> authorized</w:t>
      </w:r>
      <w:r w:rsidR="00250A01">
        <w:rPr>
          <w:bCs/>
        </w:rPr>
        <w:t xml:space="preserve"> </w:t>
      </w:r>
      <w:r w:rsidR="002022F1" w:rsidRPr="008D2746">
        <w:rPr>
          <w:bCs/>
          <w:highlight w:val="yellow"/>
        </w:rPr>
        <w:t>[</w:t>
      </w:r>
      <w:r w:rsidR="008D2746" w:rsidRPr="008D2746">
        <w:rPr>
          <w:bCs/>
          <w:highlight w:val="yellow"/>
        </w:rPr>
        <w:t>INSERT]</w:t>
      </w:r>
      <w:r w:rsidR="008D2746">
        <w:rPr>
          <w:bCs/>
        </w:rPr>
        <w:t xml:space="preserve"> </w:t>
      </w:r>
      <w:r w:rsidR="00250A01">
        <w:rPr>
          <w:bCs/>
        </w:rPr>
        <w:t>County</w:t>
      </w:r>
      <w:r w:rsidR="00E33F28">
        <w:rPr>
          <w:bCs/>
        </w:rPr>
        <w:t xml:space="preserve"> (the “County”)</w:t>
      </w:r>
      <w:r w:rsidR="00E5089F">
        <w:rPr>
          <w:bCs/>
        </w:rPr>
        <w:t xml:space="preserve"> to enter into an engagement agreement with </w:t>
      </w:r>
      <w:r w:rsidR="00B53399">
        <w:t>Crueger Dickinson LLC</w:t>
      </w:r>
      <w:r w:rsidR="00D54C0D">
        <w:t xml:space="preserve">, </w:t>
      </w:r>
      <w:r w:rsidR="00B53399">
        <w:t>Simmons Hanly Conroy LLC</w:t>
      </w:r>
      <w:r w:rsidR="00131D34">
        <w:t xml:space="preserve"> and </w:t>
      </w:r>
      <w:r w:rsidR="00D54C0D">
        <w:t xml:space="preserve">von </w:t>
      </w:r>
      <w:proofErr w:type="spellStart"/>
      <w:r w:rsidR="00D54C0D">
        <w:t>Briesen</w:t>
      </w:r>
      <w:proofErr w:type="spellEnd"/>
      <w:r w:rsidR="00D54C0D">
        <w:t xml:space="preserve"> &amp; Roper, </w:t>
      </w:r>
      <w:proofErr w:type="spellStart"/>
      <w:r w:rsidR="00D54C0D">
        <w:t>s.c.</w:t>
      </w:r>
      <w:proofErr w:type="spellEnd"/>
      <w:r w:rsidR="00D54C0D">
        <w:t xml:space="preserve"> </w:t>
      </w:r>
      <w:r w:rsidR="00B53399">
        <w:t xml:space="preserve">(the “Law Firms”) </w:t>
      </w:r>
      <w:r w:rsidR="00E5089F">
        <w:rPr>
          <w:bCs/>
        </w:rPr>
        <w:t>to pursue litigation against certain manufacturers, distributors, and retailers of opioid pharmaceuticals (</w:t>
      </w:r>
      <w:r w:rsidR="00B53399">
        <w:rPr>
          <w:bCs/>
        </w:rPr>
        <w:t xml:space="preserve">the </w:t>
      </w:r>
      <w:r w:rsidR="00E5089F">
        <w:rPr>
          <w:bCs/>
        </w:rPr>
        <w:t xml:space="preserve">“Opioid Defendants”) in an effort to hold the Opioid Defendants financially responsible for the </w:t>
      </w:r>
      <w:r w:rsidR="006C51EE">
        <w:rPr>
          <w:bCs/>
        </w:rPr>
        <w:t xml:space="preserve">impact on of the Opioid Epidemic on the </w:t>
      </w:r>
      <w:r w:rsidR="00E5089F">
        <w:rPr>
          <w:bCs/>
        </w:rPr>
        <w:t>County and resources</w:t>
      </w:r>
      <w:r w:rsidR="006C51EE">
        <w:rPr>
          <w:bCs/>
        </w:rPr>
        <w:t xml:space="preserve"> necessary</w:t>
      </w:r>
      <w:r w:rsidR="00E5089F">
        <w:rPr>
          <w:bCs/>
        </w:rPr>
        <w:t xml:space="preserve"> to combat the opioid epidemic; </w:t>
      </w:r>
      <w:r w:rsidR="00EA6134" w:rsidRPr="00EA6134">
        <w:rPr>
          <w:bCs/>
          <w:highlight w:val="yellow"/>
        </w:rPr>
        <w:t>[NON-LITIGATING REMOVE THIS PARAGRAPH]</w:t>
      </w:r>
    </w:p>
    <w:p w14:paraId="4792C9BC" w14:textId="65521D31" w:rsidR="00E5089F" w:rsidRDefault="00E5089F" w:rsidP="00343FEE">
      <w:pPr>
        <w:ind w:firstLine="720"/>
        <w:jc w:val="both"/>
        <w:rPr>
          <w:bCs/>
        </w:rPr>
      </w:pPr>
    </w:p>
    <w:p w14:paraId="1A36D039" w14:textId="61140F3D" w:rsidR="00E5089F" w:rsidRDefault="00E5089F" w:rsidP="00343FEE">
      <w:pPr>
        <w:ind w:firstLine="720"/>
        <w:jc w:val="both"/>
      </w:pPr>
      <w:r>
        <w:rPr>
          <w:b/>
          <w:bCs/>
        </w:rPr>
        <w:t>WHEREAS</w:t>
      </w:r>
      <w:r>
        <w:rPr>
          <w:bCs/>
        </w:rPr>
        <w:t xml:space="preserve">, </w:t>
      </w:r>
      <w:r w:rsidR="00B53399">
        <w:rPr>
          <w:bCs/>
        </w:rPr>
        <w:t>on behalf of the County, the Law Firms filed a lawsuit against the Opioid Defendants</w:t>
      </w:r>
      <w:r w:rsidR="00E8231A">
        <w:rPr>
          <w:bCs/>
        </w:rPr>
        <w:t xml:space="preserve"> </w:t>
      </w:r>
      <w:r w:rsidR="006F0DCD">
        <w:rPr>
          <w:bCs/>
        </w:rPr>
        <w:t xml:space="preserve">in 2018 </w:t>
      </w:r>
      <w:r w:rsidR="00E8231A">
        <w:rPr>
          <w:bCs/>
        </w:rPr>
        <w:t>and have been litigating against the Opioid Defendants since that time</w:t>
      </w:r>
      <w:r w:rsidR="00B53399">
        <w:t xml:space="preserve">; </w:t>
      </w:r>
      <w:r w:rsidR="00EA6134" w:rsidRPr="00EA6134">
        <w:rPr>
          <w:bCs/>
          <w:highlight w:val="yellow"/>
        </w:rPr>
        <w:t>[NON-LITIGATING REMOVE THIS PARAGRAPH]</w:t>
      </w:r>
    </w:p>
    <w:p w14:paraId="0FD75DB9" w14:textId="543349EA" w:rsidR="00B53399" w:rsidRDefault="00B53399" w:rsidP="00D54C0D">
      <w:pPr>
        <w:jc w:val="both"/>
        <w:rPr>
          <w:bCs/>
        </w:rPr>
      </w:pPr>
    </w:p>
    <w:p w14:paraId="3AF9F989" w14:textId="2D2F8C46" w:rsidR="00E8231A" w:rsidRDefault="00B53399" w:rsidP="00343FEE">
      <w:pPr>
        <w:ind w:firstLine="720"/>
        <w:jc w:val="both"/>
        <w:rPr>
          <w:bCs/>
        </w:rPr>
      </w:pPr>
      <w:r>
        <w:rPr>
          <w:b/>
          <w:bCs/>
        </w:rPr>
        <w:t>WHEREAS</w:t>
      </w:r>
      <w:r>
        <w:rPr>
          <w:bCs/>
        </w:rPr>
        <w:t>,</w:t>
      </w:r>
      <w:r w:rsidR="00E8231A">
        <w:rPr>
          <w:bCs/>
        </w:rPr>
        <w:t xml:space="preserve"> negotiations to settle claims against </w:t>
      </w:r>
      <w:r w:rsidR="006C51EE">
        <w:rPr>
          <w:bCs/>
        </w:rPr>
        <w:t xml:space="preserve">several of the </w:t>
      </w:r>
      <w:r w:rsidR="00E8231A">
        <w:rPr>
          <w:bCs/>
        </w:rPr>
        <w:t>Opioid Defendants</w:t>
      </w:r>
      <w:r w:rsidR="006C51EE">
        <w:rPr>
          <w:bCs/>
        </w:rPr>
        <w:t>,</w:t>
      </w:r>
      <w:r w:rsidR="00EA2D5D">
        <w:rPr>
          <w:bCs/>
        </w:rPr>
        <w:t xml:space="preserve"> specifically</w:t>
      </w:r>
      <w:r w:rsidR="00E8231A">
        <w:rPr>
          <w:bCs/>
        </w:rPr>
        <w:t xml:space="preserve"> </w:t>
      </w:r>
      <w:r w:rsidRPr="00B53399">
        <w:rPr>
          <w:bCs/>
        </w:rPr>
        <w:t xml:space="preserve">McKesson Corporation, Cardinal Health, Inc., AmerisourceBergen Corporation, Johnson &amp; Johnson, Janssen Pharmaceuticals, Inc., Ortho-McNeil-Janssen Pharmaceuticals, Inc., and Janssen </w:t>
      </w:r>
      <w:proofErr w:type="spellStart"/>
      <w:r w:rsidRPr="00B53399">
        <w:rPr>
          <w:bCs/>
        </w:rPr>
        <w:t>Pharmaceuitca</w:t>
      </w:r>
      <w:proofErr w:type="spellEnd"/>
      <w:r w:rsidRPr="00B53399">
        <w:rPr>
          <w:bCs/>
        </w:rPr>
        <w:t>, Inc</w:t>
      </w:r>
      <w:r>
        <w:rPr>
          <w:bCs/>
        </w:rPr>
        <w:t>. (</w:t>
      </w:r>
      <w:r w:rsidR="00584078">
        <w:rPr>
          <w:bCs/>
        </w:rPr>
        <w:t xml:space="preserve">the </w:t>
      </w:r>
      <w:r>
        <w:rPr>
          <w:bCs/>
        </w:rPr>
        <w:t xml:space="preserve">“Settling Defendants”) </w:t>
      </w:r>
      <w:r w:rsidR="00E8231A">
        <w:rPr>
          <w:bCs/>
        </w:rPr>
        <w:t>have been ongoing</w:t>
      </w:r>
      <w:r w:rsidR="000B72A6">
        <w:rPr>
          <w:bCs/>
        </w:rPr>
        <w:t xml:space="preserve"> for several years;</w:t>
      </w:r>
    </w:p>
    <w:p w14:paraId="50683E8F" w14:textId="77777777" w:rsidR="00E8231A" w:rsidRDefault="00E8231A" w:rsidP="00343FEE">
      <w:pPr>
        <w:ind w:firstLine="720"/>
        <w:jc w:val="both"/>
        <w:rPr>
          <w:bCs/>
        </w:rPr>
      </w:pPr>
    </w:p>
    <w:p w14:paraId="4EA76954" w14:textId="0A9F3848" w:rsidR="00B53399" w:rsidRDefault="00E8231A" w:rsidP="00343FEE">
      <w:pPr>
        <w:ind w:firstLine="720"/>
        <w:jc w:val="both"/>
        <w:rPr>
          <w:bCs/>
        </w:rPr>
      </w:pPr>
      <w:proofErr w:type="gramStart"/>
      <w:r>
        <w:rPr>
          <w:b/>
        </w:rPr>
        <w:t>WHEREAS,</w:t>
      </w:r>
      <w:proofErr w:type="gramEnd"/>
      <w:r>
        <w:rPr>
          <w:b/>
        </w:rPr>
        <w:t xml:space="preserve"> </w:t>
      </w:r>
      <w:r w:rsidR="00EA2D5D">
        <w:rPr>
          <w:bCs/>
        </w:rPr>
        <w:t xml:space="preserve">negotiations with the Settling Defendants </w:t>
      </w:r>
      <w:r w:rsidR="00D54C0D">
        <w:rPr>
          <w:bCs/>
        </w:rPr>
        <w:t>ha</w:t>
      </w:r>
      <w:r>
        <w:rPr>
          <w:bCs/>
        </w:rPr>
        <w:t>ve</w:t>
      </w:r>
      <w:r w:rsidR="00D54C0D">
        <w:rPr>
          <w:bCs/>
        </w:rPr>
        <w:t xml:space="preserve"> </w:t>
      </w:r>
      <w:r w:rsidR="00B53399">
        <w:rPr>
          <w:bCs/>
        </w:rPr>
        <w:t xml:space="preserve">resulted in </w:t>
      </w:r>
      <w:r w:rsidR="00D54C0D">
        <w:rPr>
          <w:bCs/>
        </w:rPr>
        <w:t xml:space="preserve">proposed </w:t>
      </w:r>
      <w:r>
        <w:rPr>
          <w:bCs/>
        </w:rPr>
        <w:t xml:space="preserve">nationwide </w:t>
      </w:r>
      <w:r w:rsidR="00D54C0D">
        <w:rPr>
          <w:bCs/>
        </w:rPr>
        <w:t>settlement</w:t>
      </w:r>
      <w:r w:rsidR="00937251">
        <w:rPr>
          <w:bCs/>
        </w:rPr>
        <w:t>s</w:t>
      </w:r>
      <w:r w:rsidR="00D54C0D">
        <w:rPr>
          <w:bCs/>
        </w:rPr>
        <w:t xml:space="preserve"> </w:t>
      </w:r>
      <w:r w:rsidR="005F6459">
        <w:rPr>
          <w:bCs/>
        </w:rPr>
        <w:t>of</w:t>
      </w:r>
      <w:r w:rsidR="00D54C0D">
        <w:rPr>
          <w:bCs/>
        </w:rPr>
        <w:t xml:space="preserve"> </w:t>
      </w:r>
      <w:r>
        <w:rPr>
          <w:bCs/>
        </w:rPr>
        <w:t xml:space="preserve">state and local government claims </w:t>
      </w:r>
      <w:r w:rsidR="00B53399">
        <w:rPr>
          <w:bCs/>
        </w:rPr>
        <w:t xml:space="preserve">involved in the Litigation; </w:t>
      </w:r>
    </w:p>
    <w:p w14:paraId="44FFCF01" w14:textId="24B5274A" w:rsidR="00B53399" w:rsidRDefault="00B53399" w:rsidP="00343FEE">
      <w:pPr>
        <w:ind w:firstLine="720"/>
        <w:jc w:val="both"/>
        <w:rPr>
          <w:bCs/>
        </w:rPr>
      </w:pPr>
    </w:p>
    <w:p w14:paraId="034D554C" w14:textId="41AA0ED6" w:rsidR="00E8231A" w:rsidRDefault="00B53399" w:rsidP="00343FEE">
      <w:pPr>
        <w:ind w:firstLine="720"/>
        <w:jc w:val="both"/>
        <w:rPr>
          <w:bCs/>
        </w:rPr>
      </w:pPr>
      <w:r>
        <w:rPr>
          <w:b/>
          <w:bCs/>
        </w:rPr>
        <w:t>WHEREAS</w:t>
      </w:r>
      <w:r>
        <w:rPr>
          <w:bCs/>
        </w:rPr>
        <w:t xml:space="preserve">, </w:t>
      </w:r>
      <w:r w:rsidR="00584078">
        <w:rPr>
          <w:bCs/>
        </w:rPr>
        <w:t xml:space="preserve">copies of the </w:t>
      </w:r>
      <w:r w:rsidR="00E8231A">
        <w:rPr>
          <w:bCs/>
        </w:rPr>
        <w:t xml:space="preserve">proposed terms of </w:t>
      </w:r>
      <w:r w:rsidR="00A078CA">
        <w:rPr>
          <w:bCs/>
        </w:rPr>
        <w:t xml:space="preserve">those proposed </w:t>
      </w:r>
      <w:r w:rsidR="00E8231A">
        <w:rPr>
          <w:bCs/>
        </w:rPr>
        <w:t>nationwide settlement</w:t>
      </w:r>
      <w:r w:rsidR="00A078CA">
        <w:rPr>
          <w:bCs/>
        </w:rPr>
        <w:t>s</w:t>
      </w:r>
      <w:r w:rsidR="00E8231A">
        <w:rPr>
          <w:bCs/>
        </w:rPr>
        <w:t xml:space="preserve"> have been set forth in the </w:t>
      </w:r>
      <w:r w:rsidR="00584078">
        <w:rPr>
          <w:bCs/>
        </w:rPr>
        <w:t xml:space="preserve">Distributors </w:t>
      </w:r>
      <w:r w:rsidR="00870C66">
        <w:rPr>
          <w:bCs/>
        </w:rPr>
        <w:t xml:space="preserve">Master </w:t>
      </w:r>
      <w:r w:rsidR="00584078">
        <w:rPr>
          <w:bCs/>
        </w:rPr>
        <w:t xml:space="preserve">Settlement Agreement and </w:t>
      </w:r>
      <w:r w:rsidR="00870C66">
        <w:rPr>
          <w:bCs/>
        </w:rPr>
        <w:t xml:space="preserve">the J&amp;J Master </w:t>
      </w:r>
      <w:r w:rsidR="00584078">
        <w:rPr>
          <w:bCs/>
        </w:rPr>
        <w:t>Settlement Agreement (collectively “Settlement Agreements”)</w:t>
      </w:r>
      <w:r w:rsidR="00A078CA">
        <w:rPr>
          <w:bCs/>
        </w:rPr>
        <w:t>;</w:t>
      </w:r>
    </w:p>
    <w:p w14:paraId="711BFAEF" w14:textId="77777777" w:rsidR="009B7894" w:rsidRDefault="009B7894" w:rsidP="00343FEE">
      <w:pPr>
        <w:ind w:firstLine="720"/>
        <w:jc w:val="both"/>
        <w:rPr>
          <w:bCs/>
        </w:rPr>
      </w:pPr>
    </w:p>
    <w:p w14:paraId="34E6717C" w14:textId="4B74D188" w:rsidR="009B7894" w:rsidRDefault="009B7894" w:rsidP="009B7894">
      <w:pPr>
        <w:ind w:firstLine="720"/>
        <w:jc w:val="both"/>
        <w:rPr>
          <w:bCs/>
        </w:rPr>
      </w:pPr>
      <w:proofErr w:type="gramStart"/>
      <w:r>
        <w:rPr>
          <w:b/>
        </w:rPr>
        <w:t>WHEREAS,</w:t>
      </w:r>
      <w:proofErr w:type="gramEnd"/>
      <w:r>
        <w:rPr>
          <w:bCs/>
        </w:rPr>
        <w:t xml:space="preserve"> copies of the Settlement Agreements as well as summary of the main terms of the Settlement Agreements, the deadlines for submitting the Participation Agreements to the Settlement Agreements</w:t>
      </w:r>
      <w:r w:rsidR="000A435D">
        <w:rPr>
          <w:bCs/>
        </w:rPr>
        <w:t xml:space="preserve"> and </w:t>
      </w:r>
      <w:r>
        <w:rPr>
          <w:bCs/>
        </w:rPr>
        <w:t xml:space="preserve">the MDL Court’s Order setting deadlines for any </w:t>
      </w:r>
      <w:r w:rsidR="000A435D">
        <w:rPr>
          <w:bCs/>
        </w:rPr>
        <w:t xml:space="preserve">Plaintiff </w:t>
      </w:r>
      <w:r>
        <w:rPr>
          <w:bCs/>
        </w:rPr>
        <w:t xml:space="preserve">who declines to enter into the Settlement Agreements have been provided </w:t>
      </w:r>
      <w:r w:rsidR="0051744C">
        <w:rPr>
          <w:bCs/>
        </w:rPr>
        <w:t xml:space="preserve">to the </w:t>
      </w:r>
      <w:r w:rsidR="00D74EE2">
        <w:rPr>
          <w:bCs/>
        </w:rPr>
        <w:t xml:space="preserve">County </w:t>
      </w:r>
      <w:r w:rsidR="0051744C">
        <w:rPr>
          <w:bCs/>
        </w:rPr>
        <w:t xml:space="preserve">prior to the execution of </w:t>
      </w:r>
      <w:r>
        <w:rPr>
          <w:bCs/>
        </w:rPr>
        <w:t xml:space="preserve">this Resolution; </w:t>
      </w:r>
    </w:p>
    <w:p w14:paraId="25872053" w14:textId="77777777" w:rsidR="002515D9" w:rsidRDefault="002515D9" w:rsidP="00343FEE">
      <w:pPr>
        <w:ind w:firstLine="720"/>
        <w:jc w:val="both"/>
        <w:rPr>
          <w:bCs/>
        </w:rPr>
      </w:pPr>
    </w:p>
    <w:p w14:paraId="0695A970" w14:textId="6A6D656C" w:rsidR="002515D9" w:rsidRDefault="002515D9" w:rsidP="002515D9">
      <w:pPr>
        <w:ind w:firstLine="720"/>
        <w:jc w:val="both"/>
        <w:rPr>
          <w:bCs/>
        </w:rPr>
      </w:pPr>
      <w:r>
        <w:rPr>
          <w:b/>
          <w:bCs/>
        </w:rPr>
        <w:t>WHEREAS</w:t>
      </w:r>
      <w:r>
        <w:rPr>
          <w:bCs/>
        </w:rPr>
        <w:t xml:space="preserve">, the Settlement Agreements provide, among other things, for the payment of </w:t>
      </w:r>
      <w:r w:rsidR="002D3A87">
        <w:rPr>
          <w:bCs/>
        </w:rPr>
        <w:t xml:space="preserve">a </w:t>
      </w:r>
      <w:r>
        <w:rPr>
          <w:bCs/>
        </w:rPr>
        <w:t xml:space="preserve">certain sum to settling government entities in </w:t>
      </w:r>
      <w:r w:rsidR="00C90AB0">
        <w:rPr>
          <w:bCs/>
        </w:rPr>
        <w:t>Iowa</w:t>
      </w:r>
      <w:r w:rsidR="007D13C8">
        <w:rPr>
          <w:bCs/>
        </w:rPr>
        <w:t xml:space="preserve"> </w:t>
      </w:r>
      <w:r w:rsidR="009B7894">
        <w:rPr>
          <w:bCs/>
        </w:rPr>
        <w:t xml:space="preserve">including </w:t>
      </w:r>
      <w:r w:rsidR="00E84F48">
        <w:rPr>
          <w:bCs/>
        </w:rPr>
        <w:t xml:space="preserve">to </w:t>
      </w:r>
      <w:r w:rsidR="009B7894">
        <w:rPr>
          <w:bCs/>
        </w:rPr>
        <w:t xml:space="preserve">the State of </w:t>
      </w:r>
      <w:r w:rsidR="00C90AB0">
        <w:rPr>
          <w:bCs/>
        </w:rPr>
        <w:t>Iowa</w:t>
      </w:r>
      <w:r w:rsidR="007D13C8">
        <w:rPr>
          <w:bCs/>
        </w:rPr>
        <w:t xml:space="preserve"> </w:t>
      </w:r>
      <w:r w:rsidR="009B7894">
        <w:rPr>
          <w:bCs/>
        </w:rPr>
        <w:t>and Participating Subdivisions</w:t>
      </w:r>
      <w:r w:rsidR="00295296">
        <w:rPr>
          <w:bCs/>
        </w:rPr>
        <w:t>,</w:t>
      </w:r>
      <w:r w:rsidR="009B7894">
        <w:rPr>
          <w:bCs/>
        </w:rPr>
        <w:t xml:space="preserve"> </w:t>
      </w:r>
      <w:r w:rsidR="00C76C1D">
        <w:rPr>
          <w:bCs/>
        </w:rPr>
        <w:t>as that term is defined in the Settlement Agreements</w:t>
      </w:r>
      <w:r w:rsidR="00295296">
        <w:rPr>
          <w:bCs/>
        </w:rPr>
        <w:t>,</w:t>
      </w:r>
      <w:r w:rsidR="00C76C1D">
        <w:rPr>
          <w:bCs/>
        </w:rPr>
        <w:t xml:space="preserve"> </w:t>
      </w:r>
      <w:r w:rsidR="00801609">
        <w:rPr>
          <w:bCs/>
        </w:rPr>
        <w:t>upon occurrence of certain events as defined in the Settlement Agreements</w:t>
      </w:r>
      <w:r w:rsidR="009D3BAE">
        <w:rPr>
          <w:bCs/>
        </w:rPr>
        <w:t xml:space="preserve"> </w:t>
      </w:r>
      <w:r w:rsidR="009D3BAE" w:rsidRPr="009D3BAE">
        <w:rPr>
          <w:bCs/>
        </w:rPr>
        <w:t>(“</w:t>
      </w:r>
      <w:r w:rsidR="00061DD5">
        <w:rPr>
          <w:bCs/>
        </w:rPr>
        <w:t>Iowa</w:t>
      </w:r>
      <w:r w:rsidR="00824F49">
        <w:rPr>
          <w:bCs/>
        </w:rPr>
        <w:t xml:space="preserve"> </w:t>
      </w:r>
      <w:r w:rsidR="00D25717">
        <w:rPr>
          <w:bCs/>
        </w:rPr>
        <w:t>Opioid Funds</w:t>
      </w:r>
      <w:r w:rsidR="009D3BAE" w:rsidRPr="009D3BAE">
        <w:rPr>
          <w:bCs/>
        </w:rPr>
        <w:t>”</w:t>
      </w:r>
      <w:proofErr w:type="gramStart"/>
      <w:r w:rsidR="009D3BAE" w:rsidRPr="009D3BAE">
        <w:rPr>
          <w:bCs/>
        </w:rPr>
        <w:t>)</w:t>
      </w:r>
      <w:r w:rsidR="009B7894">
        <w:rPr>
          <w:bCs/>
        </w:rPr>
        <w:t>;</w:t>
      </w:r>
      <w:proofErr w:type="gramEnd"/>
    </w:p>
    <w:p w14:paraId="1D2E06D7" w14:textId="09C92054" w:rsidR="006C51EE" w:rsidRDefault="006C51EE" w:rsidP="009B7894">
      <w:pPr>
        <w:jc w:val="both"/>
        <w:rPr>
          <w:bCs/>
        </w:rPr>
      </w:pPr>
    </w:p>
    <w:p w14:paraId="73D638F0" w14:textId="1284AB60" w:rsidR="0099302D" w:rsidRDefault="006C51EE" w:rsidP="00C15EEF">
      <w:pPr>
        <w:ind w:firstLine="720"/>
        <w:jc w:val="both"/>
        <w:rPr>
          <w:bCs/>
        </w:rPr>
      </w:pPr>
      <w:r>
        <w:rPr>
          <w:b/>
          <w:bCs/>
        </w:rPr>
        <w:t>WHEREAS</w:t>
      </w:r>
      <w:r>
        <w:rPr>
          <w:bCs/>
        </w:rPr>
        <w:t xml:space="preserve">, the Law Firms have engaged in extensive discussions with the State Attorney General’s Office (“AGO”) as to how </w:t>
      </w:r>
      <w:r w:rsidR="00D50CA8">
        <w:rPr>
          <w:bCs/>
        </w:rPr>
        <w:t xml:space="preserve">the </w:t>
      </w:r>
      <w:r w:rsidR="00824F49">
        <w:rPr>
          <w:bCs/>
        </w:rPr>
        <w:t>Iowa Opioid Funds</w:t>
      </w:r>
      <w:r w:rsidR="00D50CA8">
        <w:rPr>
          <w:bCs/>
        </w:rPr>
        <w:t xml:space="preserve"> will be allocated</w:t>
      </w:r>
      <w:r w:rsidR="002D3A87">
        <w:rPr>
          <w:bCs/>
        </w:rPr>
        <w:t>,</w:t>
      </w:r>
      <w:r w:rsidR="00D50CA8">
        <w:rPr>
          <w:bCs/>
        </w:rPr>
        <w:t xml:space="preserve"> </w:t>
      </w:r>
      <w:r w:rsidR="00D50CA8" w:rsidRPr="00D50CA8">
        <w:rPr>
          <w:bCs/>
        </w:rPr>
        <w:t xml:space="preserve">which has resulted </w:t>
      </w:r>
      <w:r w:rsidR="00D50CA8" w:rsidRPr="00D50CA8">
        <w:rPr>
          <w:bCs/>
        </w:rPr>
        <w:lastRenderedPageBreak/>
        <w:t xml:space="preserve">in the proposed </w:t>
      </w:r>
      <w:r w:rsidR="00833D83">
        <w:t xml:space="preserve">Iowa Opioid Allocation </w:t>
      </w:r>
      <w:r w:rsidR="00C15EEF" w:rsidRPr="00C15EEF">
        <w:t xml:space="preserve">Memorandum of Understanding </w:t>
      </w:r>
      <w:r w:rsidR="00C15EEF">
        <w:rPr>
          <w:bCs/>
        </w:rPr>
        <w:t>(“</w:t>
      </w:r>
      <w:r w:rsidR="00D50CA8" w:rsidRPr="00D50CA8">
        <w:rPr>
          <w:bCs/>
        </w:rPr>
        <w:t>Allocation MOU</w:t>
      </w:r>
      <w:r w:rsidR="00C15EEF">
        <w:rPr>
          <w:bCs/>
        </w:rPr>
        <w:t>”)</w:t>
      </w:r>
      <w:r w:rsidR="00D50CA8" w:rsidRPr="00D50CA8">
        <w:rPr>
          <w:bCs/>
        </w:rPr>
        <w:t xml:space="preserve">, which is an agreement between all of the entities </w:t>
      </w:r>
      <w:r w:rsidR="00833D83">
        <w:rPr>
          <w:bCs/>
        </w:rPr>
        <w:t xml:space="preserve">who are signatories to </w:t>
      </w:r>
      <w:r w:rsidR="00D50CA8" w:rsidRPr="00D50CA8">
        <w:rPr>
          <w:bCs/>
        </w:rPr>
        <w:t xml:space="preserve">the Allocation </w:t>
      </w:r>
      <w:proofErr w:type="gramStart"/>
      <w:r w:rsidR="00D50CA8" w:rsidRPr="00D50CA8">
        <w:rPr>
          <w:bCs/>
        </w:rPr>
        <w:t>MOU</w:t>
      </w:r>
      <w:r w:rsidR="007F66AA">
        <w:rPr>
          <w:bCs/>
        </w:rPr>
        <w:t>;</w:t>
      </w:r>
      <w:proofErr w:type="gramEnd"/>
    </w:p>
    <w:p w14:paraId="5DBA55C2" w14:textId="77777777" w:rsidR="006C51EE" w:rsidRDefault="006C51EE" w:rsidP="006C51EE">
      <w:pPr>
        <w:ind w:firstLine="720"/>
        <w:jc w:val="both"/>
        <w:rPr>
          <w:bCs/>
        </w:rPr>
      </w:pPr>
    </w:p>
    <w:p w14:paraId="5078DB8D" w14:textId="7E757BEF" w:rsidR="006C51EE" w:rsidRDefault="00EA2D5D" w:rsidP="006C51EE">
      <w:pPr>
        <w:ind w:firstLine="720"/>
        <w:jc w:val="both"/>
        <w:rPr>
          <w:bCs/>
        </w:rPr>
      </w:pPr>
      <w:proofErr w:type="gramStart"/>
      <w:r>
        <w:rPr>
          <w:b/>
        </w:rPr>
        <w:t>WHEREAS,</w:t>
      </w:r>
      <w:proofErr w:type="gramEnd"/>
      <w:r>
        <w:rPr>
          <w:b/>
        </w:rPr>
        <w:t xml:space="preserve"> </w:t>
      </w:r>
      <w:r>
        <w:rPr>
          <w:bCs/>
        </w:rPr>
        <w:t xml:space="preserve">a copy of the Allocation </w:t>
      </w:r>
      <w:r w:rsidR="006C51EE">
        <w:rPr>
          <w:bCs/>
        </w:rPr>
        <w:t>MOU</w:t>
      </w:r>
      <w:r>
        <w:rPr>
          <w:bCs/>
        </w:rPr>
        <w:t xml:space="preserve"> </w:t>
      </w:r>
      <w:r w:rsidR="00B06B59">
        <w:rPr>
          <w:bCs/>
        </w:rPr>
        <w:t xml:space="preserve">and the Exhibits to that MOU </w:t>
      </w:r>
      <w:r>
        <w:rPr>
          <w:bCs/>
        </w:rPr>
        <w:t>has been provided with this Resolution;</w:t>
      </w:r>
    </w:p>
    <w:p w14:paraId="4355A14D" w14:textId="77777777" w:rsidR="005F6805" w:rsidRDefault="005F6805" w:rsidP="00CF0484">
      <w:pPr>
        <w:jc w:val="both"/>
        <w:rPr>
          <w:bCs/>
        </w:rPr>
      </w:pPr>
    </w:p>
    <w:p w14:paraId="57EA67E6" w14:textId="0E4D86F5" w:rsidR="005067CD" w:rsidRDefault="009424F5" w:rsidP="005067CD">
      <w:pPr>
        <w:ind w:firstLine="720"/>
        <w:jc w:val="both"/>
        <w:rPr>
          <w:bCs/>
        </w:rPr>
      </w:pPr>
      <w:proofErr w:type="gramStart"/>
      <w:r>
        <w:rPr>
          <w:b/>
        </w:rPr>
        <w:t>WHEREAS,</w:t>
      </w:r>
      <w:proofErr w:type="gramEnd"/>
      <w:r>
        <w:rPr>
          <w:b/>
        </w:rPr>
        <w:t xml:space="preserve"> </w:t>
      </w:r>
      <w:r w:rsidR="00FE5373">
        <w:rPr>
          <w:bCs/>
        </w:rPr>
        <w:t xml:space="preserve">the Allocation MOU divides </w:t>
      </w:r>
      <w:r w:rsidR="00824F49">
        <w:rPr>
          <w:bCs/>
        </w:rPr>
        <w:t xml:space="preserve">Iowa Opioid Funds as follows: </w:t>
      </w:r>
      <w:r w:rsidR="00061DD5" w:rsidRPr="00061DD5">
        <w:rPr>
          <w:bCs/>
        </w:rPr>
        <w:t>(</w:t>
      </w:r>
      <w:proofErr w:type="spellStart"/>
      <w:r w:rsidR="00061DD5" w:rsidRPr="00061DD5">
        <w:rPr>
          <w:bCs/>
        </w:rPr>
        <w:t>i</w:t>
      </w:r>
      <w:proofErr w:type="spellEnd"/>
      <w:r w:rsidR="00061DD5" w:rsidRPr="00061DD5">
        <w:rPr>
          <w:bCs/>
        </w:rPr>
        <w:t xml:space="preserve">) 50% to the </w:t>
      </w:r>
      <w:r w:rsidR="00490AB5">
        <w:rPr>
          <w:bCs/>
        </w:rPr>
        <w:t xml:space="preserve">State </w:t>
      </w:r>
      <w:r w:rsidR="00061DD5" w:rsidRPr="00061DD5">
        <w:rPr>
          <w:bCs/>
        </w:rPr>
        <w:t>(“</w:t>
      </w:r>
      <w:r w:rsidR="00490AB5">
        <w:rPr>
          <w:bCs/>
        </w:rPr>
        <w:t xml:space="preserve">the </w:t>
      </w:r>
      <w:r w:rsidR="00061DD5" w:rsidRPr="00061DD5">
        <w:rPr>
          <w:bCs/>
        </w:rPr>
        <w:t>Iowa Abatement Share”) and (ii) 50% to Participating Local Governments</w:t>
      </w:r>
      <w:r w:rsidR="006106E7">
        <w:rPr>
          <w:bCs/>
        </w:rPr>
        <w:t xml:space="preserve"> (“LG Share”</w:t>
      </w:r>
      <w:r w:rsidR="005B097F">
        <w:rPr>
          <w:bCs/>
        </w:rPr>
        <w:t>)</w:t>
      </w:r>
      <w:r w:rsidR="00061DD5" w:rsidRPr="00061DD5">
        <w:rPr>
          <w:bCs/>
        </w:rPr>
        <w:t>, less fees and costs allocated to the Iowa Backstop Fund as set forth in Section D</w:t>
      </w:r>
      <w:r w:rsidR="001E7090">
        <w:rPr>
          <w:bCs/>
        </w:rPr>
        <w:t xml:space="preserve"> </w:t>
      </w:r>
      <w:r w:rsidR="00B06B59">
        <w:rPr>
          <w:bCs/>
        </w:rPr>
        <w:t xml:space="preserve">of </w:t>
      </w:r>
      <w:r w:rsidR="001E7090">
        <w:rPr>
          <w:bCs/>
        </w:rPr>
        <w:t>the Allocation MOU</w:t>
      </w:r>
      <w:r w:rsidR="00061DD5" w:rsidRPr="00061DD5">
        <w:rPr>
          <w:bCs/>
        </w:rPr>
        <w:t xml:space="preserve"> </w:t>
      </w:r>
      <w:r w:rsidR="001E7090">
        <w:rPr>
          <w:bCs/>
        </w:rPr>
        <w:t xml:space="preserve">and in this Resolution </w:t>
      </w:r>
      <w:r w:rsidR="00061DD5" w:rsidRPr="00061DD5">
        <w:rPr>
          <w:bCs/>
        </w:rPr>
        <w:t>(“LG Abatement Share”).</w:t>
      </w:r>
    </w:p>
    <w:p w14:paraId="6EA1E949" w14:textId="77777777" w:rsidR="005067CD" w:rsidRDefault="005067CD" w:rsidP="005067CD">
      <w:pPr>
        <w:ind w:firstLine="720"/>
        <w:jc w:val="both"/>
        <w:rPr>
          <w:b/>
        </w:rPr>
      </w:pPr>
    </w:p>
    <w:p w14:paraId="38C2C331" w14:textId="348FC636" w:rsidR="004B7985" w:rsidRDefault="005067CD" w:rsidP="001C49D0">
      <w:pPr>
        <w:ind w:firstLine="720"/>
        <w:jc w:val="both"/>
        <w:rPr>
          <w:bCs/>
        </w:rPr>
      </w:pPr>
      <w:proofErr w:type="gramStart"/>
      <w:r>
        <w:rPr>
          <w:b/>
        </w:rPr>
        <w:t>WHEREAS,</w:t>
      </w:r>
      <w:proofErr w:type="gramEnd"/>
      <w:r>
        <w:rPr>
          <w:b/>
        </w:rPr>
        <w:t xml:space="preserve"> </w:t>
      </w:r>
      <w:r>
        <w:rPr>
          <w:bCs/>
        </w:rPr>
        <w:t>t</w:t>
      </w:r>
      <w:r w:rsidRPr="005067CD">
        <w:rPr>
          <w:bCs/>
        </w:rPr>
        <w:t xml:space="preserve">he LG Abatement Share shall be distributed in direct payments to the Counties that are Participating Local Governments according to </w:t>
      </w:r>
      <w:r w:rsidR="004B7985" w:rsidRPr="00B029ED">
        <w:rPr>
          <w:bCs/>
        </w:rPr>
        <w:t>the allocation model developed in connection with the proposed</w:t>
      </w:r>
      <w:r w:rsidR="004B7985">
        <w:rPr>
          <w:bCs/>
        </w:rPr>
        <w:t xml:space="preserve"> </w:t>
      </w:r>
      <w:r w:rsidR="004B7985" w:rsidRPr="00B029ED">
        <w:rPr>
          <w:bCs/>
        </w:rPr>
        <w:t>negotiating class in the National Prescription Opiate Litigation (MDL No. 2804)</w:t>
      </w:r>
      <w:r w:rsidR="00400135">
        <w:rPr>
          <w:bCs/>
        </w:rPr>
        <w:t xml:space="preserve"> </w:t>
      </w:r>
      <w:r w:rsidR="00400135" w:rsidRPr="005067CD">
        <w:rPr>
          <w:bCs/>
        </w:rPr>
        <w:t xml:space="preserve">in the amounts set forth on Exhibit 2 </w:t>
      </w:r>
      <w:r w:rsidR="00400135">
        <w:rPr>
          <w:bCs/>
        </w:rPr>
        <w:t xml:space="preserve">to the Allocation MOU </w:t>
      </w:r>
      <w:r w:rsidR="00400135" w:rsidRPr="005067CD">
        <w:rPr>
          <w:bCs/>
        </w:rPr>
        <w:t xml:space="preserve">(“Direct Distribution </w:t>
      </w:r>
      <w:r w:rsidR="001C49D0">
        <w:rPr>
          <w:bCs/>
        </w:rPr>
        <w:t>Percentage</w:t>
      </w:r>
      <w:r w:rsidR="00400135" w:rsidRPr="005067CD">
        <w:rPr>
          <w:bCs/>
        </w:rPr>
        <w:t xml:space="preserve">”). </w:t>
      </w:r>
      <w:r w:rsidR="004B7985" w:rsidRPr="005351A5">
        <w:rPr>
          <w:bCs/>
        </w:rPr>
        <w:t xml:space="preserve">The </w:t>
      </w:r>
      <w:r w:rsidR="001C49D0">
        <w:rPr>
          <w:bCs/>
        </w:rPr>
        <w:t xml:space="preserve">Direct Distribution Percentage </w:t>
      </w:r>
      <w:r w:rsidR="004B7985">
        <w:rPr>
          <w:bCs/>
        </w:rPr>
        <w:t xml:space="preserve">will be </w:t>
      </w:r>
      <w:r w:rsidR="00684960">
        <w:rPr>
          <w:bCs/>
        </w:rPr>
        <w:t xml:space="preserve">multiplied by the </w:t>
      </w:r>
      <w:r w:rsidR="004B7985">
        <w:rPr>
          <w:bCs/>
        </w:rPr>
        <w:t xml:space="preserve">total </w:t>
      </w:r>
      <w:r w:rsidR="00684960">
        <w:rPr>
          <w:bCs/>
        </w:rPr>
        <w:t xml:space="preserve">LG Abatement Share </w:t>
      </w:r>
      <w:r w:rsidR="00BE0749">
        <w:rPr>
          <w:bCs/>
        </w:rPr>
        <w:t xml:space="preserve">to arrive at the total </w:t>
      </w:r>
      <w:r w:rsidR="0011313B">
        <w:rPr>
          <w:bCs/>
        </w:rPr>
        <w:t xml:space="preserve">allocation </w:t>
      </w:r>
      <w:r w:rsidR="00BE0749">
        <w:rPr>
          <w:bCs/>
        </w:rPr>
        <w:t xml:space="preserve">to the Participating Local Government </w:t>
      </w:r>
      <w:r w:rsidR="004B7985" w:rsidRPr="005351A5">
        <w:rPr>
          <w:bCs/>
        </w:rPr>
        <w:t>(the “</w:t>
      </w:r>
      <w:r w:rsidR="00F0531F">
        <w:rPr>
          <w:bCs/>
        </w:rPr>
        <w:t>Direct Distribution Amount</w:t>
      </w:r>
      <w:r w:rsidR="004B7985" w:rsidRPr="005351A5">
        <w:rPr>
          <w:bCs/>
        </w:rPr>
        <w:t>”).</w:t>
      </w:r>
    </w:p>
    <w:p w14:paraId="730E68AA" w14:textId="77777777" w:rsidR="005067CD" w:rsidRDefault="005067CD" w:rsidP="00BE0749">
      <w:pPr>
        <w:jc w:val="both"/>
        <w:rPr>
          <w:bCs/>
        </w:rPr>
      </w:pPr>
    </w:p>
    <w:p w14:paraId="2C068C66" w14:textId="4F3F2AB0" w:rsidR="00564539" w:rsidRDefault="000E7EC8" w:rsidP="000E7EC8">
      <w:pPr>
        <w:ind w:firstLine="720"/>
        <w:jc w:val="both"/>
      </w:pPr>
      <w:proofErr w:type="gramStart"/>
      <w:r>
        <w:rPr>
          <w:b/>
        </w:rPr>
        <w:t>WHEREAS,</w:t>
      </w:r>
      <w:proofErr w:type="gramEnd"/>
      <w:r>
        <w:rPr>
          <w:b/>
        </w:rPr>
        <w:t xml:space="preserve"> </w:t>
      </w:r>
      <w:r w:rsidRPr="000E7EC8">
        <w:t xml:space="preserve">100% of the Iowa Abatement Share and the LG Abatement Share, regardless of allocation, shall be utilized only for Opioid Related Expenditures incurred after the Effective Date of this MOU.  The list of approved Opioid Related Expenditures </w:t>
      </w:r>
      <w:proofErr w:type="gramStart"/>
      <w:r w:rsidRPr="000E7EC8">
        <w:t>are</w:t>
      </w:r>
      <w:proofErr w:type="gramEnd"/>
      <w:r w:rsidRPr="000E7EC8">
        <w:t xml:space="preserve"> set forth in Exhibit 1 to this MOU.  </w:t>
      </w:r>
    </w:p>
    <w:p w14:paraId="7A7DB9AC" w14:textId="77777777" w:rsidR="00564539" w:rsidRDefault="00564539" w:rsidP="000E7EC8">
      <w:pPr>
        <w:ind w:firstLine="720"/>
        <w:jc w:val="both"/>
      </w:pPr>
    </w:p>
    <w:p w14:paraId="36ABA727" w14:textId="06589904" w:rsidR="008D5D36" w:rsidRDefault="00564539" w:rsidP="008D5D36">
      <w:pPr>
        <w:ind w:firstLine="720"/>
        <w:jc w:val="both"/>
      </w:pPr>
      <w:r>
        <w:rPr>
          <w:b/>
          <w:bCs/>
        </w:rPr>
        <w:t xml:space="preserve">WHEREAS </w:t>
      </w:r>
      <w:r>
        <w:t xml:space="preserve">at </w:t>
      </w:r>
      <w:r w:rsidR="000E7EC8" w:rsidRPr="000E7EC8">
        <w:t xml:space="preserve">least 75% of the Iowa Abatement Share and </w:t>
      </w:r>
      <w:r w:rsidR="005B097F">
        <w:t xml:space="preserve">75% of </w:t>
      </w:r>
      <w:r w:rsidR="000E7EC8" w:rsidRPr="000E7EC8">
        <w:t xml:space="preserve">the LG Abatement Share shall be utilized for only the “Core Strategies” listed in Schedule A of Exhibit 1 to this MOU. </w:t>
      </w:r>
    </w:p>
    <w:p w14:paraId="768030F7" w14:textId="77777777" w:rsidR="008D5D36" w:rsidRDefault="008D5D36" w:rsidP="008D5D36">
      <w:pPr>
        <w:ind w:firstLine="720"/>
        <w:jc w:val="both"/>
      </w:pPr>
    </w:p>
    <w:p w14:paraId="4B091959" w14:textId="6667214C" w:rsidR="008D5D36" w:rsidRDefault="008D5D36" w:rsidP="008D5D36">
      <w:pPr>
        <w:ind w:firstLine="720"/>
        <w:jc w:val="both"/>
        <w:rPr>
          <w:bCs/>
        </w:rPr>
      </w:pPr>
      <w:proofErr w:type="gramStart"/>
      <w:r>
        <w:rPr>
          <w:b/>
        </w:rPr>
        <w:t>WHEREAS,</w:t>
      </w:r>
      <w:proofErr w:type="gramEnd"/>
      <w:r>
        <w:rPr>
          <w:b/>
        </w:rPr>
        <w:t xml:space="preserve"> </w:t>
      </w:r>
      <w:r>
        <w:rPr>
          <w:bCs/>
        </w:rPr>
        <w:t>e</w:t>
      </w:r>
      <w:r w:rsidRPr="008D5D36">
        <w:rPr>
          <w:bCs/>
        </w:rPr>
        <w:t>very Participating Local Government that receives a Direct Distribution Amount shall create a separate fund on its financial books and records that is designated for the receipt and expenditure of the entity’s Direct Distribution Amount, called the “LG Abatement Fund.”  Funds in an LG Abatement Fund shall not be commingled with any other money or funds of the Participating Local Government</w:t>
      </w:r>
      <w:proofErr w:type="gramStart"/>
      <w:r w:rsidRPr="008D5D36">
        <w:rPr>
          <w:bCs/>
        </w:rPr>
        <w:t xml:space="preserve">.  </w:t>
      </w:r>
      <w:proofErr w:type="gramEnd"/>
      <w:r w:rsidRPr="008D5D36">
        <w:rPr>
          <w:bCs/>
        </w:rPr>
        <w:t>A Participating Local Government may invest LG Abatement Fund funds consistent with the investment of other funds of a Participating Local Government</w:t>
      </w:r>
      <w:proofErr w:type="gramStart"/>
      <w:r w:rsidRPr="008D5D36">
        <w:rPr>
          <w:bCs/>
        </w:rPr>
        <w:t xml:space="preserve">.  </w:t>
      </w:r>
      <w:proofErr w:type="gramEnd"/>
    </w:p>
    <w:p w14:paraId="25EF7930" w14:textId="77777777" w:rsidR="00100E25" w:rsidRDefault="00100E25" w:rsidP="008D5D36">
      <w:pPr>
        <w:ind w:firstLine="720"/>
        <w:jc w:val="both"/>
        <w:rPr>
          <w:bCs/>
        </w:rPr>
      </w:pPr>
    </w:p>
    <w:p w14:paraId="1F283C78" w14:textId="2C85DC28" w:rsidR="008D5D36" w:rsidRPr="00100E25" w:rsidRDefault="00100E25" w:rsidP="00100E25">
      <w:pPr>
        <w:ind w:firstLine="720"/>
        <w:jc w:val="both"/>
        <w:rPr>
          <w:bCs/>
        </w:rPr>
      </w:pPr>
      <w:proofErr w:type="gramStart"/>
      <w:r>
        <w:rPr>
          <w:b/>
        </w:rPr>
        <w:t>WHEREAS,</w:t>
      </w:r>
      <w:proofErr w:type="gramEnd"/>
      <w:r>
        <w:rPr>
          <w:b/>
        </w:rPr>
        <w:t xml:space="preserve"> </w:t>
      </w:r>
      <w:r w:rsidR="008D5D36" w:rsidRPr="00100E25">
        <w:rPr>
          <w:bCs/>
        </w:rPr>
        <w:t>Funds in a LG Abatement Fund may be expended by a Participating Local Government only for Opioid Related Expenditures. For avoidance of doubt, funds in a LG Abatement Fund may not be expended for costs, disbursements or payments made or incurred prior to the Settlement.</w:t>
      </w:r>
    </w:p>
    <w:p w14:paraId="65A48DF3" w14:textId="77777777" w:rsidR="008D5D36" w:rsidRPr="008D5D36" w:rsidRDefault="008D5D36" w:rsidP="008D5D36">
      <w:pPr>
        <w:ind w:firstLine="720"/>
        <w:jc w:val="both"/>
        <w:rPr>
          <w:b/>
        </w:rPr>
      </w:pPr>
    </w:p>
    <w:p w14:paraId="74E6929E" w14:textId="5BBFA774" w:rsidR="008D5D36" w:rsidRDefault="00100E25" w:rsidP="008D5D36">
      <w:pPr>
        <w:ind w:firstLine="720"/>
        <w:jc w:val="both"/>
        <w:rPr>
          <w:bCs/>
        </w:rPr>
      </w:pPr>
      <w:proofErr w:type="gramStart"/>
      <w:r>
        <w:rPr>
          <w:b/>
        </w:rPr>
        <w:t>WHEREAS,</w:t>
      </w:r>
      <w:proofErr w:type="gramEnd"/>
      <w:r>
        <w:rPr>
          <w:b/>
        </w:rPr>
        <w:t xml:space="preserve"> </w:t>
      </w:r>
      <w:r w:rsidRPr="00100E25">
        <w:rPr>
          <w:bCs/>
        </w:rPr>
        <w:t>e</w:t>
      </w:r>
      <w:r w:rsidR="008D5D36" w:rsidRPr="00100E25">
        <w:rPr>
          <w:bCs/>
        </w:rPr>
        <w:t>ach LG Abatement Fund shall be subject to audit in a manner consistent with Code of Iowa §§331.402(2)(</w:t>
      </w:r>
      <w:proofErr w:type="spellStart"/>
      <w:r w:rsidR="008D5D36" w:rsidRPr="00100E25">
        <w:rPr>
          <w:bCs/>
        </w:rPr>
        <w:t>i</w:t>
      </w:r>
      <w:proofErr w:type="spellEnd"/>
      <w:r w:rsidR="008D5D36" w:rsidRPr="00100E25">
        <w:rPr>
          <w:bCs/>
        </w:rPr>
        <w:t>) and 11.6. Any such audit shall be a financial and performance audit to ensure that the LG Abatement Fund disbursements are consistent with the terms of this MOU</w:t>
      </w:r>
      <w:proofErr w:type="gramStart"/>
      <w:r w:rsidR="008D5D36" w:rsidRPr="00100E25">
        <w:rPr>
          <w:bCs/>
        </w:rPr>
        <w:t xml:space="preserve">.  </w:t>
      </w:r>
      <w:proofErr w:type="gramEnd"/>
      <w:r w:rsidR="008D5D36" w:rsidRPr="00100E25">
        <w:rPr>
          <w:bCs/>
        </w:rPr>
        <w:t>If any such audit reveals an expenditure inconsistent with the terms of this MOU, the Participating Local Government shall immediately redirect the funds associated with the inconsistent expenditure to an Opioid Related Expenditure.</w:t>
      </w:r>
    </w:p>
    <w:p w14:paraId="36E9EC05" w14:textId="77777777" w:rsidR="00513F20" w:rsidRDefault="00513F20" w:rsidP="008D5D36">
      <w:pPr>
        <w:ind w:firstLine="720"/>
        <w:jc w:val="both"/>
        <w:rPr>
          <w:bCs/>
        </w:rPr>
      </w:pPr>
    </w:p>
    <w:p w14:paraId="42CC5923" w14:textId="77777777" w:rsidR="000E7EC8" w:rsidRPr="000E7EC8" w:rsidRDefault="000E7EC8" w:rsidP="00A07453">
      <w:pPr>
        <w:jc w:val="both"/>
        <w:rPr>
          <w:bCs/>
        </w:rPr>
      </w:pPr>
    </w:p>
    <w:p w14:paraId="097955B1" w14:textId="1D00A2F7" w:rsidR="00AF657D" w:rsidRDefault="00672133" w:rsidP="00AF657D">
      <w:pPr>
        <w:ind w:firstLine="720"/>
        <w:jc w:val="both"/>
        <w:rPr>
          <w:bCs/>
        </w:rPr>
      </w:pPr>
      <w:r>
        <w:rPr>
          <w:b/>
        </w:rPr>
        <w:t xml:space="preserve">WHEREAS, </w:t>
      </w:r>
      <w:r>
        <w:rPr>
          <w:bCs/>
        </w:rPr>
        <w:t xml:space="preserve">County </w:t>
      </w:r>
      <w:r w:rsidRPr="00672133">
        <w:rPr>
          <w:bCs/>
        </w:rPr>
        <w:t xml:space="preserve">has contracted with </w:t>
      </w:r>
      <w:r w:rsidR="009F029F">
        <w:rPr>
          <w:bCs/>
        </w:rPr>
        <w:t xml:space="preserve">the Law Firms </w:t>
      </w:r>
      <w:r w:rsidRPr="00672133">
        <w:rPr>
          <w:bCs/>
        </w:rPr>
        <w:t xml:space="preserve">for representation in the Litigation and </w:t>
      </w:r>
      <w:r w:rsidR="009F029F">
        <w:rPr>
          <w:bCs/>
        </w:rPr>
        <w:t>the Law Firms</w:t>
      </w:r>
      <w:r w:rsidRPr="00672133">
        <w:rPr>
          <w:bCs/>
        </w:rPr>
        <w:t xml:space="preserve"> ha</w:t>
      </w:r>
      <w:r w:rsidR="009F029F">
        <w:rPr>
          <w:bCs/>
        </w:rPr>
        <w:t>ve</w:t>
      </w:r>
      <w:r w:rsidRPr="00672133">
        <w:rPr>
          <w:bCs/>
        </w:rPr>
        <w:t xml:space="preserve"> been representing those entities since 2018</w:t>
      </w:r>
      <w:r w:rsidR="00F86F59">
        <w:rPr>
          <w:bCs/>
        </w:rPr>
        <w:t xml:space="preserve"> and i</w:t>
      </w:r>
      <w:r w:rsidRPr="00672133">
        <w:rPr>
          <w:bCs/>
        </w:rPr>
        <w:t xml:space="preserve">n consideration for </w:t>
      </w:r>
      <w:r w:rsidR="009F029F">
        <w:rPr>
          <w:bCs/>
        </w:rPr>
        <w:t xml:space="preserve">the Law Firms’ </w:t>
      </w:r>
      <w:r w:rsidRPr="00672133">
        <w:rPr>
          <w:bCs/>
        </w:rPr>
        <w:t xml:space="preserve">representation, </w:t>
      </w:r>
      <w:r w:rsidR="00AF657D">
        <w:rPr>
          <w:bCs/>
        </w:rPr>
        <w:t xml:space="preserve">the County </w:t>
      </w:r>
      <w:proofErr w:type="gramStart"/>
      <w:r w:rsidRPr="00672133">
        <w:rPr>
          <w:bCs/>
        </w:rPr>
        <w:t>entered into</w:t>
      </w:r>
      <w:proofErr w:type="gramEnd"/>
      <w:r w:rsidRPr="00672133">
        <w:rPr>
          <w:bCs/>
        </w:rPr>
        <w:t xml:space="preserve"> a contract with </w:t>
      </w:r>
      <w:r w:rsidR="009F029F">
        <w:rPr>
          <w:bCs/>
        </w:rPr>
        <w:t xml:space="preserve">the Law Firms </w:t>
      </w:r>
      <w:r w:rsidRPr="00672133">
        <w:rPr>
          <w:bCs/>
        </w:rPr>
        <w:t xml:space="preserve">for a 25% contingency fee applied to </w:t>
      </w:r>
      <w:r w:rsidR="00AF657D">
        <w:rPr>
          <w:bCs/>
        </w:rPr>
        <w:t>County’s total recovery from any settlement</w:t>
      </w:r>
      <w:r w:rsidRPr="00672133">
        <w:rPr>
          <w:bCs/>
        </w:rPr>
        <w:t>.</w:t>
      </w:r>
    </w:p>
    <w:p w14:paraId="38D9C1FE" w14:textId="77777777" w:rsidR="00AF657D" w:rsidRDefault="00AF657D" w:rsidP="00AF657D">
      <w:pPr>
        <w:ind w:firstLine="720"/>
        <w:jc w:val="both"/>
        <w:rPr>
          <w:bCs/>
        </w:rPr>
      </w:pPr>
    </w:p>
    <w:p w14:paraId="6E6C6D69" w14:textId="79D67E25" w:rsidR="00672133" w:rsidRDefault="00AF657D" w:rsidP="00AF657D">
      <w:pPr>
        <w:ind w:firstLine="720"/>
        <w:jc w:val="both"/>
        <w:rPr>
          <w:bCs/>
        </w:rPr>
      </w:pPr>
      <w:proofErr w:type="gramStart"/>
      <w:r>
        <w:rPr>
          <w:b/>
        </w:rPr>
        <w:t>WHEREAS,</w:t>
      </w:r>
      <w:proofErr w:type="gramEnd"/>
      <w:r>
        <w:rPr>
          <w:b/>
        </w:rPr>
        <w:t xml:space="preserve"> </w:t>
      </w:r>
      <w:r>
        <w:rPr>
          <w:bCs/>
        </w:rPr>
        <w:t>t</w:t>
      </w:r>
      <w:r w:rsidR="00672133" w:rsidRPr="00672133">
        <w:rPr>
          <w:bCs/>
        </w:rPr>
        <w:t xml:space="preserve">he </w:t>
      </w:r>
      <w:r>
        <w:rPr>
          <w:bCs/>
        </w:rPr>
        <w:t xml:space="preserve">Settlement Agreements </w:t>
      </w:r>
      <w:r w:rsidR="00672133" w:rsidRPr="00672133">
        <w:rPr>
          <w:bCs/>
        </w:rPr>
        <w:t xml:space="preserve">provide for the payment of attorney’s fees and legal expenses owed by States and Participating Local Governments to outside counsel retained for Opioid Litigation. To effectuate this, the Court in the MDL Litigation has established a fund to compensate attorneys </w:t>
      </w:r>
      <w:r w:rsidR="003600BD">
        <w:rPr>
          <w:bCs/>
        </w:rPr>
        <w:t xml:space="preserve">representing plaintiffs in the Litigation </w:t>
      </w:r>
      <w:r w:rsidR="00672133" w:rsidRPr="00672133">
        <w:rPr>
          <w:bCs/>
        </w:rPr>
        <w:t xml:space="preserve">(the “National Attorney Fee Fund”). </w:t>
      </w:r>
    </w:p>
    <w:p w14:paraId="3461AEAE" w14:textId="77777777" w:rsidR="00056029" w:rsidRDefault="00056029" w:rsidP="00AF657D">
      <w:pPr>
        <w:ind w:firstLine="720"/>
        <w:jc w:val="both"/>
        <w:rPr>
          <w:bCs/>
        </w:rPr>
      </w:pPr>
    </w:p>
    <w:p w14:paraId="64D46E69" w14:textId="501E64ED" w:rsidR="0060306E" w:rsidRDefault="00056029" w:rsidP="00AD37EB">
      <w:pPr>
        <w:ind w:firstLine="720"/>
        <w:jc w:val="both"/>
        <w:rPr>
          <w:bCs/>
        </w:rPr>
      </w:pPr>
      <w:proofErr w:type="gramStart"/>
      <w:r>
        <w:rPr>
          <w:b/>
        </w:rPr>
        <w:t>WHEREAS,</w:t>
      </w:r>
      <w:proofErr w:type="gramEnd"/>
      <w:r>
        <w:rPr>
          <w:b/>
        </w:rPr>
        <w:t xml:space="preserve"> </w:t>
      </w:r>
      <w:r w:rsidR="0020033A">
        <w:rPr>
          <w:bCs/>
        </w:rPr>
        <w:t xml:space="preserve">the Law Firms </w:t>
      </w:r>
      <w:r w:rsidRPr="00056029">
        <w:rPr>
          <w:bCs/>
        </w:rPr>
        <w:t xml:space="preserve">intend to make application to the National Attorney Fee Fund.  </w:t>
      </w:r>
      <w:r w:rsidR="0020033A">
        <w:rPr>
          <w:bCs/>
        </w:rPr>
        <w:t>However, b</w:t>
      </w:r>
      <w:r w:rsidRPr="00056029">
        <w:rPr>
          <w:bCs/>
        </w:rPr>
        <w:t xml:space="preserve">ecause there is still uncertainty regarding what </w:t>
      </w:r>
      <w:r w:rsidR="00FD62DC">
        <w:rPr>
          <w:bCs/>
        </w:rPr>
        <w:t xml:space="preserve">counsel for litigating </w:t>
      </w:r>
      <w:r w:rsidR="00001589">
        <w:rPr>
          <w:bCs/>
        </w:rPr>
        <w:t xml:space="preserve">local governments </w:t>
      </w:r>
      <w:r w:rsidRPr="00056029">
        <w:rPr>
          <w:bCs/>
        </w:rPr>
        <w:t xml:space="preserve">will recover as compensation for the large volume of work done and the large out of pocket expense of the Litigation, and whereas the </w:t>
      </w:r>
      <w:r w:rsidR="00560F7A">
        <w:rPr>
          <w:bCs/>
        </w:rPr>
        <w:t xml:space="preserve">Parties to the Allocation MOU </w:t>
      </w:r>
      <w:r w:rsidRPr="00056029">
        <w:rPr>
          <w:bCs/>
        </w:rPr>
        <w:t xml:space="preserve">desire to fairly compensate </w:t>
      </w:r>
      <w:r w:rsidR="00560F7A">
        <w:rPr>
          <w:bCs/>
        </w:rPr>
        <w:t xml:space="preserve">outside counsel </w:t>
      </w:r>
      <w:r w:rsidRPr="00056029">
        <w:rPr>
          <w:bCs/>
        </w:rPr>
        <w:t xml:space="preserve">for the work done on behalf of </w:t>
      </w:r>
      <w:r w:rsidR="0020033A">
        <w:rPr>
          <w:bCs/>
        </w:rPr>
        <w:t xml:space="preserve">the </w:t>
      </w:r>
      <w:r w:rsidR="00791637">
        <w:rPr>
          <w:bCs/>
        </w:rPr>
        <w:t xml:space="preserve">Participating </w:t>
      </w:r>
      <w:r w:rsidR="008A297F">
        <w:rPr>
          <w:bCs/>
        </w:rPr>
        <w:t xml:space="preserve">Local Governments in </w:t>
      </w:r>
      <w:r w:rsidR="00C90AB0">
        <w:rPr>
          <w:bCs/>
        </w:rPr>
        <w:t>Iowa</w:t>
      </w:r>
      <w:r w:rsidRPr="00056029">
        <w:rPr>
          <w:bCs/>
        </w:rPr>
        <w:t xml:space="preserve">, </w:t>
      </w:r>
      <w:r w:rsidR="00EE65E4">
        <w:rPr>
          <w:bCs/>
        </w:rPr>
        <w:t xml:space="preserve">the Allocation MOU provides that a fund be created from </w:t>
      </w:r>
      <w:r w:rsidR="000B6F04" w:rsidRPr="000B6F04">
        <w:rPr>
          <w:bCs/>
        </w:rPr>
        <w:t xml:space="preserve">15 % of the LG Share attributable to the Litigating Local Governments, less any amounts a Litigating Local Government </w:t>
      </w:r>
      <w:r w:rsidR="00930198">
        <w:rPr>
          <w:bCs/>
        </w:rPr>
        <w:t>(“Iowa Backstop Fund”)</w:t>
      </w:r>
    </w:p>
    <w:p w14:paraId="4C8583BC" w14:textId="77777777" w:rsidR="00930198" w:rsidRDefault="00930198" w:rsidP="00AD37EB">
      <w:pPr>
        <w:ind w:firstLine="720"/>
        <w:jc w:val="both"/>
        <w:rPr>
          <w:bCs/>
        </w:rPr>
      </w:pPr>
    </w:p>
    <w:p w14:paraId="46D53BA6" w14:textId="3328DAAE" w:rsidR="0060306E" w:rsidRDefault="001C38D5" w:rsidP="00AD37EB">
      <w:pPr>
        <w:ind w:firstLine="720"/>
        <w:jc w:val="both"/>
        <w:rPr>
          <w:bCs/>
        </w:rPr>
      </w:pPr>
      <w:proofErr w:type="gramStart"/>
      <w:r>
        <w:rPr>
          <w:b/>
        </w:rPr>
        <w:t>WHEREAS,</w:t>
      </w:r>
      <w:proofErr w:type="gramEnd"/>
      <w:r>
        <w:rPr>
          <w:b/>
        </w:rPr>
        <w:t xml:space="preserve"> </w:t>
      </w:r>
      <w:r>
        <w:rPr>
          <w:bCs/>
        </w:rPr>
        <w:t xml:space="preserve">the </w:t>
      </w:r>
      <w:r w:rsidR="000E29C5">
        <w:rPr>
          <w:bCs/>
        </w:rPr>
        <w:t xml:space="preserve">Iowa Backstop Fund </w:t>
      </w:r>
      <w:r>
        <w:rPr>
          <w:bCs/>
        </w:rPr>
        <w:t xml:space="preserve">is meant to compensate </w:t>
      </w:r>
      <w:r w:rsidR="008A297F">
        <w:rPr>
          <w:bCs/>
        </w:rPr>
        <w:t xml:space="preserve">outside counsel for </w:t>
      </w:r>
      <w:r w:rsidR="007654A4">
        <w:rPr>
          <w:bCs/>
        </w:rPr>
        <w:t>p</w:t>
      </w:r>
      <w:r w:rsidR="008A297F">
        <w:rPr>
          <w:bCs/>
        </w:rPr>
        <w:t xml:space="preserve">articipating </w:t>
      </w:r>
      <w:r w:rsidR="007654A4">
        <w:rPr>
          <w:bCs/>
        </w:rPr>
        <w:t>l</w:t>
      </w:r>
      <w:r w:rsidR="008A297F">
        <w:rPr>
          <w:bCs/>
        </w:rPr>
        <w:t xml:space="preserve">ocal </w:t>
      </w:r>
      <w:r w:rsidR="007654A4">
        <w:rPr>
          <w:bCs/>
        </w:rPr>
        <w:t>g</w:t>
      </w:r>
      <w:r w:rsidR="008A297F">
        <w:rPr>
          <w:bCs/>
        </w:rPr>
        <w:t xml:space="preserve">overnments only </w:t>
      </w:r>
      <w:r>
        <w:rPr>
          <w:bCs/>
        </w:rPr>
        <w:t xml:space="preserve">for amounts not recovered at the </w:t>
      </w:r>
      <w:r w:rsidR="00317302">
        <w:rPr>
          <w:bCs/>
        </w:rPr>
        <w:t xml:space="preserve">National </w:t>
      </w:r>
      <w:r w:rsidR="00553A6D" w:rsidRPr="00F01072">
        <w:rPr>
          <w:bCs/>
        </w:rPr>
        <w:t xml:space="preserve">Fee Fund </w:t>
      </w:r>
      <w:r w:rsidR="00317302">
        <w:rPr>
          <w:bCs/>
        </w:rPr>
        <w:t xml:space="preserve">attributable to </w:t>
      </w:r>
      <w:r w:rsidR="003221CF">
        <w:rPr>
          <w:bCs/>
        </w:rPr>
        <w:t xml:space="preserve">their </w:t>
      </w:r>
      <w:r w:rsidR="00C90AB0">
        <w:rPr>
          <w:bCs/>
        </w:rPr>
        <w:t>Iowa</w:t>
      </w:r>
      <w:r w:rsidR="003221CF">
        <w:rPr>
          <w:bCs/>
        </w:rPr>
        <w:t xml:space="preserve"> clients</w:t>
      </w:r>
      <w:r w:rsidR="00553A6D">
        <w:rPr>
          <w:bCs/>
        </w:rPr>
        <w:t>;</w:t>
      </w:r>
    </w:p>
    <w:p w14:paraId="046E3BCB" w14:textId="77777777" w:rsidR="009D4518" w:rsidRDefault="009D4518" w:rsidP="00AD37EB">
      <w:pPr>
        <w:ind w:firstLine="720"/>
        <w:jc w:val="both"/>
        <w:rPr>
          <w:bCs/>
        </w:rPr>
      </w:pPr>
    </w:p>
    <w:p w14:paraId="5F097124" w14:textId="1E522993" w:rsidR="00F01072" w:rsidRPr="00610BB5" w:rsidRDefault="009D4518" w:rsidP="00610BB5">
      <w:pPr>
        <w:ind w:firstLine="720"/>
        <w:jc w:val="both"/>
        <w:rPr>
          <w:b/>
          <w:i/>
          <w:iCs/>
        </w:rPr>
      </w:pPr>
      <w:proofErr w:type="gramStart"/>
      <w:r>
        <w:rPr>
          <w:b/>
        </w:rPr>
        <w:t>WHEREAS,</w:t>
      </w:r>
      <w:proofErr w:type="gramEnd"/>
      <w:r>
        <w:rPr>
          <w:b/>
        </w:rPr>
        <w:t xml:space="preserve"> </w:t>
      </w:r>
      <w:r>
        <w:rPr>
          <w:bCs/>
        </w:rPr>
        <w:t xml:space="preserve">to be eligible for the </w:t>
      </w:r>
      <w:r w:rsidR="004B34CD">
        <w:rPr>
          <w:bCs/>
        </w:rPr>
        <w:t>Iowa Backstop Fund</w:t>
      </w:r>
      <w:r w:rsidR="00610BB5">
        <w:rPr>
          <w:bCs/>
        </w:rPr>
        <w:t xml:space="preserve">, </w:t>
      </w:r>
      <w:r w:rsidR="000D6CEC">
        <w:rPr>
          <w:bCs/>
        </w:rPr>
        <w:t xml:space="preserve">the Law Firms </w:t>
      </w:r>
      <w:r w:rsidR="00610BB5">
        <w:rPr>
          <w:bCs/>
        </w:rPr>
        <w:t xml:space="preserve">must first seek payment from the National Attorneys’ Fees Fund and may not recover amounts attributable </w:t>
      </w:r>
      <w:r w:rsidR="00661CB0">
        <w:rPr>
          <w:bCs/>
        </w:rPr>
        <w:t xml:space="preserve">to Counsel’s representation of the County received at the National Attorneys’ Fees Fund from the </w:t>
      </w:r>
      <w:r w:rsidR="004B34CD">
        <w:rPr>
          <w:bCs/>
        </w:rPr>
        <w:t>Iowa Backstop Fund</w:t>
      </w:r>
      <w:r w:rsidR="004B7748">
        <w:rPr>
          <w:bCs/>
        </w:rPr>
        <w:t>;</w:t>
      </w:r>
    </w:p>
    <w:p w14:paraId="2CC886C2" w14:textId="77777777" w:rsidR="00EE65E4" w:rsidRDefault="00EE65E4" w:rsidP="00EE65E4">
      <w:pPr>
        <w:ind w:firstLine="720"/>
        <w:jc w:val="both"/>
        <w:rPr>
          <w:bCs/>
        </w:rPr>
      </w:pPr>
    </w:p>
    <w:p w14:paraId="1753E4E4" w14:textId="32C3731F" w:rsidR="00EE65E4" w:rsidRDefault="00EE65E4" w:rsidP="00AD37EB">
      <w:pPr>
        <w:ind w:firstLine="720"/>
        <w:jc w:val="both"/>
        <w:rPr>
          <w:bCs/>
        </w:rPr>
      </w:pPr>
      <w:r w:rsidRPr="0063579A">
        <w:rPr>
          <w:b/>
          <w:bCs/>
        </w:rPr>
        <w:t>WHEREAS</w:t>
      </w:r>
      <w:r w:rsidRPr="0063579A">
        <w:rPr>
          <w:bCs/>
        </w:rPr>
        <w:t xml:space="preserve">, the County, by this Resolution, </w:t>
      </w:r>
      <w:r>
        <w:rPr>
          <w:bCs/>
        </w:rPr>
        <w:t xml:space="preserve">agrees to the creation of the </w:t>
      </w:r>
      <w:r w:rsidR="00FA6C71">
        <w:rPr>
          <w:bCs/>
        </w:rPr>
        <w:t xml:space="preserve">Iowa Backstop Fund </w:t>
      </w:r>
      <w:r>
        <w:rPr>
          <w:bCs/>
        </w:rPr>
        <w:t xml:space="preserve">in the amount of 15% of the LG Share </w:t>
      </w:r>
      <w:r w:rsidR="00831271">
        <w:rPr>
          <w:bCs/>
        </w:rPr>
        <w:t xml:space="preserve">attributable to the Litigating Local Governments </w:t>
      </w:r>
      <w:r w:rsidRPr="0063579A">
        <w:rPr>
          <w:bCs/>
        </w:rPr>
        <w:t xml:space="preserve">in order to fund a state-level “backstop” for payment of the fees, costs, and disbursements of the Law </w:t>
      </w:r>
      <w:proofErr w:type="gramStart"/>
      <w:r w:rsidRPr="0063579A">
        <w:rPr>
          <w:bCs/>
        </w:rPr>
        <w:t>Firms;</w:t>
      </w:r>
      <w:proofErr w:type="gramEnd"/>
    </w:p>
    <w:p w14:paraId="348A4A80" w14:textId="77777777" w:rsidR="00740021" w:rsidRDefault="00740021" w:rsidP="00AD37EB">
      <w:pPr>
        <w:ind w:firstLine="720"/>
        <w:jc w:val="both"/>
        <w:rPr>
          <w:bCs/>
        </w:rPr>
      </w:pPr>
    </w:p>
    <w:p w14:paraId="0A1E1286" w14:textId="43E2B770" w:rsidR="00F8128E" w:rsidRDefault="00740021" w:rsidP="00236D87">
      <w:pPr>
        <w:ind w:firstLine="720"/>
        <w:jc w:val="both"/>
        <w:rPr>
          <w:bCs/>
        </w:rPr>
      </w:pPr>
      <w:r>
        <w:rPr>
          <w:b/>
        </w:rPr>
        <w:t xml:space="preserve">WHEREAS, </w:t>
      </w:r>
      <w:r>
        <w:rPr>
          <w:bCs/>
        </w:rPr>
        <w:t xml:space="preserve">in no event shall the total of the amounts received by the Law Firms </w:t>
      </w:r>
      <w:r w:rsidR="007361C9">
        <w:rPr>
          <w:bCs/>
        </w:rPr>
        <w:t xml:space="preserve">at the National Attorney’s Fees Fund related to the County </w:t>
      </w:r>
      <w:r w:rsidR="00133A80">
        <w:rPr>
          <w:bCs/>
        </w:rPr>
        <w:t xml:space="preserve">and the amount received at the </w:t>
      </w:r>
      <w:r w:rsidR="00831271">
        <w:rPr>
          <w:bCs/>
        </w:rPr>
        <w:t xml:space="preserve">Iowa Backstop Fund </w:t>
      </w:r>
      <w:r w:rsidR="007361C9">
        <w:rPr>
          <w:bCs/>
        </w:rPr>
        <w:t xml:space="preserve">exceed </w:t>
      </w:r>
      <w:r w:rsidR="007E33E6">
        <w:rPr>
          <w:bCs/>
        </w:rPr>
        <w:t xml:space="preserve">the amount the Law Firms would have been entitled to pursuant their fee contract with the </w:t>
      </w:r>
      <w:proofErr w:type="gramStart"/>
      <w:r w:rsidR="007E33E6">
        <w:rPr>
          <w:bCs/>
        </w:rPr>
        <w:t>County;</w:t>
      </w:r>
      <w:proofErr w:type="gramEnd"/>
      <w:r w:rsidR="007E33E6">
        <w:rPr>
          <w:bCs/>
        </w:rPr>
        <w:t xml:space="preserve"> </w:t>
      </w:r>
    </w:p>
    <w:p w14:paraId="53EB4779" w14:textId="77777777" w:rsidR="001E20E9" w:rsidRPr="00236D87" w:rsidRDefault="001E20E9" w:rsidP="00236D87">
      <w:pPr>
        <w:ind w:firstLine="720"/>
        <w:jc w:val="both"/>
        <w:rPr>
          <w:bCs/>
        </w:rPr>
      </w:pPr>
    </w:p>
    <w:p w14:paraId="5D473AC8" w14:textId="226AC5C9" w:rsidR="000F6654" w:rsidRDefault="000F6654" w:rsidP="000F6654">
      <w:pPr>
        <w:ind w:firstLine="720"/>
        <w:jc w:val="both"/>
        <w:rPr>
          <w:bCs/>
        </w:rPr>
      </w:pPr>
      <w:r w:rsidRPr="000F6654">
        <w:rPr>
          <w:b/>
          <w:bCs/>
        </w:rPr>
        <w:t>WHEREAS</w:t>
      </w:r>
      <w:r w:rsidRPr="000F6654">
        <w:rPr>
          <w:bCs/>
        </w:rPr>
        <w:t xml:space="preserve">, the County, by this Resolution, shall establish </w:t>
      </w:r>
      <w:r w:rsidR="00845DD8">
        <w:rPr>
          <w:bCs/>
        </w:rPr>
        <w:t xml:space="preserve">an account </w:t>
      </w:r>
      <w:r w:rsidRPr="000F6654">
        <w:rPr>
          <w:bCs/>
        </w:rPr>
        <w:t xml:space="preserve">for the receipt of the </w:t>
      </w:r>
      <w:r w:rsidR="001E20E9">
        <w:rPr>
          <w:bCs/>
        </w:rPr>
        <w:t>LG Abatement Share</w:t>
      </w:r>
      <w:r w:rsidR="00FC281B">
        <w:rPr>
          <w:bCs/>
        </w:rPr>
        <w:t xml:space="preserve"> </w:t>
      </w:r>
      <w:r w:rsidRPr="000F6654">
        <w:rPr>
          <w:bCs/>
        </w:rPr>
        <w:t>consistent with the terms of this Resolution</w:t>
      </w:r>
      <w:r w:rsidR="00845DD8">
        <w:rPr>
          <w:bCs/>
        </w:rPr>
        <w:t xml:space="preserve"> (“</w:t>
      </w:r>
      <w:r w:rsidR="00845DD8" w:rsidRPr="000F6654">
        <w:rPr>
          <w:bCs/>
        </w:rPr>
        <w:t xml:space="preserve">the </w:t>
      </w:r>
      <w:r w:rsidR="00D8746F">
        <w:rPr>
          <w:bCs/>
        </w:rPr>
        <w:t>LG Abatement Fund</w:t>
      </w:r>
      <w:r w:rsidR="00845DD8">
        <w:rPr>
          <w:bCs/>
        </w:rPr>
        <w:t>”</w:t>
      </w:r>
      <w:proofErr w:type="gramStart"/>
      <w:r w:rsidR="00845DD8">
        <w:rPr>
          <w:bCs/>
        </w:rPr>
        <w:t>)</w:t>
      </w:r>
      <w:r w:rsidRPr="000F6654">
        <w:rPr>
          <w:bCs/>
        </w:rPr>
        <w:t>;</w:t>
      </w:r>
      <w:proofErr w:type="gramEnd"/>
    </w:p>
    <w:p w14:paraId="10A6EBD7" w14:textId="77777777" w:rsidR="000F6654" w:rsidRPr="000F6654" w:rsidRDefault="000F6654" w:rsidP="009A227A">
      <w:pPr>
        <w:jc w:val="both"/>
        <w:rPr>
          <w:bCs/>
        </w:rPr>
      </w:pPr>
    </w:p>
    <w:p w14:paraId="6EB26122" w14:textId="1B9B2E4E" w:rsidR="000F6654" w:rsidRDefault="000F6654" w:rsidP="000F6654">
      <w:pPr>
        <w:ind w:firstLine="720"/>
        <w:jc w:val="both"/>
        <w:rPr>
          <w:bCs/>
        </w:rPr>
      </w:pPr>
      <w:r w:rsidRPr="000F6654">
        <w:rPr>
          <w:b/>
          <w:bCs/>
        </w:rPr>
        <w:t>WHEREAS</w:t>
      </w:r>
      <w:r w:rsidRPr="000F6654">
        <w:rPr>
          <w:bCs/>
        </w:rPr>
        <w:t xml:space="preserve">, the County’s </w:t>
      </w:r>
      <w:r w:rsidR="00D8746F">
        <w:rPr>
          <w:bCs/>
        </w:rPr>
        <w:t xml:space="preserve">LG Abatement Fund </w:t>
      </w:r>
      <w:r w:rsidRPr="000F6654">
        <w:rPr>
          <w:bCs/>
        </w:rPr>
        <w:t xml:space="preserve">shall be separate from the County’s general fund, shall not be commingled with any other County funds, and shall be dedicated to </w:t>
      </w:r>
      <w:r w:rsidRPr="000F6654">
        <w:rPr>
          <w:bCs/>
        </w:rPr>
        <w:lastRenderedPageBreak/>
        <w:t>funding opioid abatement measures as provided in the Settlement Agreements</w:t>
      </w:r>
      <w:r w:rsidR="00845DD8">
        <w:rPr>
          <w:bCs/>
        </w:rPr>
        <w:t xml:space="preserve"> and the Allocation </w:t>
      </w:r>
      <w:proofErr w:type="gramStart"/>
      <w:r w:rsidR="00845DD8">
        <w:rPr>
          <w:bCs/>
        </w:rPr>
        <w:t>MOU</w:t>
      </w:r>
      <w:r w:rsidRPr="000F6654">
        <w:rPr>
          <w:bCs/>
        </w:rPr>
        <w:t>;</w:t>
      </w:r>
      <w:proofErr w:type="gramEnd"/>
      <w:r w:rsidRPr="000F6654">
        <w:rPr>
          <w:bCs/>
        </w:rPr>
        <w:t xml:space="preserve">  </w:t>
      </w:r>
    </w:p>
    <w:p w14:paraId="3B918D87" w14:textId="77777777" w:rsidR="007E33E6" w:rsidRDefault="007E33E6" w:rsidP="000F6654">
      <w:pPr>
        <w:ind w:firstLine="720"/>
        <w:jc w:val="both"/>
        <w:rPr>
          <w:bCs/>
        </w:rPr>
      </w:pPr>
    </w:p>
    <w:p w14:paraId="7A060B0E" w14:textId="6362D780" w:rsidR="007E33E6" w:rsidRDefault="007E33E6" w:rsidP="007E33E6">
      <w:pPr>
        <w:ind w:firstLine="720"/>
        <w:jc w:val="both"/>
      </w:pPr>
      <w:proofErr w:type="gramStart"/>
      <w:r>
        <w:rPr>
          <w:b/>
          <w:bCs/>
        </w:rPr>
        <w:t>WHEREAS,</w:t>
      </w:r>
      <w:proofErr w:type="gramEnd"/>
      <w:r>
        <w:rPr>
          <w:b/>
          <w:bCs/>
        </w:rPr>
        <w:t xml:space="preserve"> </w:t>
      </w:r>
      <w:r>
        <w:t>the County must comply annually with the reporting requirements in the Allocation MOU</w:t>
      </w:r>
      <w:r w:rsidR="00A337AE">
        <w:t>;</w:t>
      </w:r>
    </w:p>
    <w:p w14:paraId="69FDC1CD" w14:textId="10474684" w:rsidR="00B159F1" w:rsidRDefault="00B159F1" w:rsidP="00587D83">
      <w:pPr>
        <w:jc w:val="both"/>
        <w:rPr>
          <w:bCs/>
        </w:rPr>
      </w:pPr>
    </w:p>
    <w:p w14:paraId="07DDD609" w14:textId="47994E09" w:rsidR="00584078" w:rsidRDefault="00584078" w:rsidP="00343FEE">
      <w:pPr>
        <w:ind w:firstLine="720"/>
        <w:jc w:val="both"/>
        <w:rPr>
          <w:bCs/>
        </w:rPr>
      </w:pPr>
      <w:r>
        <w:rPr>
          <w:b/>
          <w:bCs/>
        </w:rPr>
        <w:t>WHEREAS</w:t>
      </w:r>
      <w:r>
        <w:rPr>
          <w:bCs/>
        </w:rPr>
        <w:t xml:space="preserve">, the </w:t>
      </w:r>
      <w:r w:rsidR="006C51EE">
        <w:rPr>
          <w:bCs/>
        </w:rPr>
        <w:t xml:space="preserve">if the </w:t>
      </w:r>
      <w:r>
        <w:rPr>
          <w:bCs/>
        </w:rPr>
        <w:t xml:space="preserve">County </w:t>
      </w:r>
      <w:r w:rsidR="006C51EE">
        <w:rPr>
          <w:bCs/>
        </w:rPr>
        <w:t xml:space="preserve">elects to become a </w:t>
      </w:r>
      <w:r>
        <w:rPr>
          <w:bCs/>
        </w:rPr>
        <w:t xml:space="preserve">Participating Subdivision in the Settlement Agreements </w:t>
      </w:r>
      <w:r w:rsidR="006C51EE">
        <w:rPr>
          <w:bCs/>
        </w:rPr>
        <w:t xml:space="preserve">it will receive the </w:t>
      </w:r>
      <w:r>
        <w:rPr>
          <w:bCs/>
        </w:rPr>
        <w:t xml:space="preserve">benefits associated with the Settlement Agreement </w:t>
      </w:r>
      <w:r w:rsidR="00B54AEA">
        <w:rPr>
          <w:bCs/>
        </w:rPr>
        <w:t xml:space="preserve">and the Allocation MOU, </w:t>
      </w:r>
      <w:r>
        <w:rPr>
          <w:bCs/>
        </w:rPr>
        <w:t xml:space="preserve">provided the County (a) approves the Settlement Agreements; (b) </w:t>
      </w:r>
      <w:r w:rsidR="006C51EE">
        <w:rPr>
          <w:bCs/>
        </w:rPr>
        <w:t>executes the Participation Agreement</w:t>
      </w:r>
      <w:r w:rsidR="00B54AEA">
        <w:rPr>
          <w:bCs/>
        </w:rPr>
        <w:t>s</w:t>
      </w:r>
      <w:r w:rsidR="006C51EE">
        <w:rPr>
          <w:bCs/>
        </w:rPr>
        <w:t xml:space="preserve"> stating the Count</w:t>
      </w:r>
      <w:r w:rsidR="00B54AEA">
        <w:rPr>
          <w:bCs/>
        </w:rPr>
        <w:t>y’s</w:t>
      </w:r>
      <w:r w:rsidR="006C51EE">
        <w:rPr>
          <w:bCs/>
        </w:rPr>
        <w:t xml:space="preserve"> intention to be bound by the Settlement Agreements; (3) </w:t>
      </w:r>
      <w:r>
        <w:rPr>
          <w:bCs/>
        </w:rPr>
        <w:t xml:space="preserve">approves the </w:t>
      </w:r>
      <w:r w:rsidR="00E740DB">
        <w:rPr>
          <w:bCs/>
        </w:rPr>
        <w:t>Allocation MOU</w:t>
      </w:r>
      <w:r w:rsidR="00EA2D5D">
        <w:rPr>
          <w:bCs/>
        </w:rPr>
        <w:t>; (4) executes</w:t>
      </w:r>
      <w:r w:rsidR="002C2AFF">
        <w:rPr>
          <w:bCs/>
        </w:rPr>
        <w:t xml:space="preserve"> the </w:t>
      </w:r>
      <w:r w:rsidR="00697252">
        <w:rPr>
          <w:bCs/>
        </w:rPr>
        <w:t>Acknowledgement and Agreement to be Boun</w:t>
      </w:r>
      <w:r w:rsidR="00974F55">
        <w:rPr>
          <w:bCs/>
        </w:rPr>
        <w:t>d</w:t>
      </w:r>
      <w:r w:rsidR="00697252">
        <w:rPr>
          <w:bCs/>
        </w:rPr>
        <w:t xml:space="preserve"> to Memorand</w:t>
      </w:r>
      <w:r w:rsidR="00974F55">
        <w:rPr>
          <w:bCs/>
        </w:rPr>
        <w:t>um of Understanding necessary to execute the</w:t>
      </w:r>
      <w:r w:rsidR="00424F13">
        <w:rPr>
          <w:bCs/>
        </w:rPr>
        <w:t xml:space="preserve"> Allocation MOU</w:t>
      </w:r>
      <w:r w:rsidR="00B85B19">
        <w:rPr>
          <w:bCs/>
        </w:rPr>
        <w:t>;</w:t>
      </w:r>
    </w:p>
    <w:p w14:paraId="7BA0B617" w14:textId="77777777" w:rsidR="00566C24" w:rsidRDefault="00566C24" w:rsidP="00EA2D5D">
      <w:pPr>
        <w:jc w:val="both"/>
        <w:rPr>
          <w:bCs/>
        </w:rPr>
      </w:pPr>
    </w:p>
    <w:p w14:paraId="08ECAB0B" w14:textId="7FB0C40A" w:rsidR="006751E1" w:rsidRDefault="00D54883" w:rsidP="0074111F">
      <w:pPr>
        <w:ind w:firstLine="720"/>
        <w:jc w:val="both"/>
        <w:rPr>
          <w:bCs/>
        </w:rPr>
      </w:pPr>
      <w:proofErr w:type="gramStart"/>
      <w:r w:rsidRPr="00D54883">
        <w:rPr>
          <w:b/>
          <w:bCs/>
        </w:rPr>
        <w:t>WHEREAS</w:t>
      </w:r>
      <w:r>
        <w:rPr>
          <w:bCs/>
        </w:rPr>
        <w:t>,</w:t>
      </w:r>
      <w:proofErr w:type="gramEnd"/>
      <w:r>
        <w:rPr>
          <w:bCs/>
        </w:rPr>
        <w:t xml:space="preserve"> </w:t>
      </w:r>
      <w:r w:rsidR="00250A01" w:rsidRPr="00D54883">
        <w:rPr>
          <w:bCs/>
        </w:rPr>
        <w:t>the</w:t>
      </w:r>
      <w:r w:rsidR="00250A01">
        <w:rPr>
          <w:bCs/>
        </w:rPr>
        <w:t xml:space="preserve"> intent of this Resolution is to authorize the County</w:t>
      </w:r>
      <w:r w:rsidR="00E744B3">
        <w:rPr>
          <w:bCs/>
        </w:rPr>
        <w:t xml:space="preserve"> </w:t>
      </w:r>
      <w:r w:rsidR="00250A01">
        <w:rPr>
          <w:bCs/>
        </w:rPr>
        <w:t>to enter into the Settlement Agreements</w:t>
      </w:r>
      <w:r w:rsidR="00F16F8C">
        <w:rPr>
          <w:bCs/>
        </w:rPr>
        <w:t xml:space="preserve"> by executing the Participation Agreement</w:t>
      </w:r>
      <w:r w:rsidR="00EA2D5D">
        <w:rPr>
          <w:bCs/>
        </w:rPr>
        <w:t>s and</w:t>
      </w:r>
      <w:r w:rsidR="00FA5935">
        <w:rPr>
          <w:bCs/>
        </w:rPr>
        <w:t xml:space="preserve"> </w:t>
      </w:r>
      <w:r w:rsidR="00E744B3">
        <w:rPr>
          <w:bCs/>
        </w:rPr>
        <w:t xml:space="preserve">to enter </w:t>
      </w:r>
      <w:r w:rsidR="00F16F8C">
        <w:rPr>
          <w:bCs/>
        </w:rPr>
        <w:t xml:space="preserve">into </w:t>
      </w:r>
      <w:r w:rsidR="00250A01">
        <w:rPr>
          <w:bCs/>
        </w:rPr>
        <w:t>the Allocation MOU</w:t>
      </w:r>
      <w:r w:rsidR="00954434">
        <w:rPr>
          <w:bCs/>
        </w:rPr>
        <w:t xml:space="preserve"> by executing the </w:t>
      </w:r>
      <w:r w:rsidR="0074111F">
        <w:rPr>
          <w:bCs/>
        </w:rPr>
        <w:t>Acknowledgement and Agreement to be Bound to Memorandum of Understanding necessary to execute the Allocation MOU;</w:t>
      </w:r>
    </w:p>
    <w:p w14:paraId="350EF84B" w14:textId="77777777" w:rsidR="00250A01" w:rsidRPr="006751E1" w:rsidRDefault="00250A01" w:rsidP="00343FEE">
      <w:pPr>
        <w:ind w:firstLine="720"/>
        <w:jc w:val="both"/>
        <w:rPr>
          <w:bCs/>
        </w:rPr>
      </w:pPr>
    </w:p>
    <w:p w14:paraId="580B2531" w14:textId="7A712669" w:rsidR="00E5089F" w:rsidRDefault="00250A01" w:rsidP="00343FEE">
      <w:pPr>
        <w:ind w:firstLine="720"/>
        <w:jc w:val="both"/>
        <w:rPr>
          <w:bCs/>
        </w:rPr>
      </w:pPr>
      <w:r>
        <w:rPr>
          <w:b/>
          <w:bCs/>
        </w:rPr>
        <w:t>NOW, THEREFORE, BE IT RESOLVED:</w:t>
      </w:r>
      <w:r>
        <w:rPr>
          <w:bCs/>
        </w:rPr>
        <w:t xml:space="preserve">  the County Board of </w:t>
      </w:r>
      <w:r w:rsidR="00FE7D76">
        <w:rPr>
          <w:bCs/>
        </w:rPr>
        <w:t>Supervisors</w:t>
      </w:r>
      <w:r>
        <w:rPr>
          <w:bCs/>
        </w:rPr>
        <w:t xml:space="preserve"> hereby approves</w:t>
      </w:r>
      <w:r w:rsidR="00FA5935">
        <w:rPr>
          <w:bCs/>
        </w:rPr>
        <w:t xml:space="preserve"> and authorizes </w:t>
      </w:r>
      <w:r w:rsidR="00471D83" w:rsidRPr="00471D83">
        <w:rPr>
          <w:bCs/>
          <w:highlight w:val="yellow"/>
        </w:rPr>
        <w:t>INSERT REPRESENTATIVE</w:t>
      </w:r>
      <w:r w:rsidR="00471D83">
        <w:rPr>
          <w:bCs/>
        </w:rPr>
        <w:t xml:space="preserve"> </w:t>
      </w:r>
      <w:r w:rsidR="00FA5935">
        <w:rPr>
          <w:bCs/>
        </w:rPr>
        <w:t xml:space="preserve">to settle </w:t>
      </w:r>
      <w:r w:rsidR="00EA2D5D">
        <w:rPr>
          <w:bCs/>
        </w:rPr>
        <w:t xml:space="preserve">and release </w:t>
      </w:r>
      <w:r w:rsidR="00FA5935">
        <w:rPr>
          <w:bCs/>
        </w:rPr>
        <w:t xml:space="preserve">the County’s claims </w:t>
      </w:r>
      <w:r w:rsidR="00EA2D5D">
        <w:rPr>
          <w:bCs/>
        </w:rPr>
        <w:t xml:space="preserve">against the Settling Defendants in exchange for the consideration set forth in the Settlement Agreements, Allocation </w:t>
      </w:r>
      <w:proofErr w:type="gramStart"/>
      <w:r w:rsidR="00EA2D5D">
        <w:rPr>
          <w:bCs/>
        </w:rPr>
        <w:t>MOU</w:t>
      </w:r>
      <w:proofErr w:type="gramEnd"/>
      <w:r w:rsidR="00EA2D5D">
        <w:rPr>
          <w:bCs/>
        </w:rPr>
        <w:t xml:space="preserve"> and all exhibits thereto, </w:t>
      </w:r>
      <w:r w:rsidR="00FA5935">
        <w:rPr>
          <w:bCs/>
        </w:rPr>
        <w:t>including taking the following measures</w:t>
      </w:r>
      <w:r>
        <w:rPr>
          <w:bCs/>
        </w:rPr>
        <w:t>:</w:t>
      </w:r>
    </w:p>
    <w:p w14:paraId="089CA151" w14:textId="7BE5473C" w:rsidR="00250A01" w:rsidRDefault="00250A01" w:rsidP="00343FEE">
      <w:pPr>
        <w:ind w:firstLine="720"/>
        <w:jc w:val="both"/>
        <w:rPr>
          <w:bCs/>
        </w:rPr>
      </w:pPr>
    </w:p>
    <w:p w14:paraId="25EACC73" w14:textId="656901F1" w:rsidR="00250A01" w:rsidRDefault="00250A01" w:rsidP="00250A01">
      <w:pPr>
        <w:ind w:left="1440" w:hanging="720"/>
        <w:jc w:val="both"/>
        <w:rPr>
          <w:bCs/>
        </w:rPr>
      </w:pPr>
      <w:r>
        <w:rPr>
          <w:bCs/>
        </w:rPr>
        <w:t>1.</w:t>
      </w:r>
      <w:r>
        <w:rPr>
          <w:bCs/>
        </w:rPr>
        <w:tab/>
        <w:t xml:space="preserve">The execution of the </w:t>
      </w:r>
      <w:r w:rsidR="00FA5935">
        <w:rPr>
          <w:bCs/>
        </w:rPr>
        <w:t xml:space="preserve">Participation Agreement to the </w:t>
      </w:r>
      <w:r>
        <w:rPr>
          <w:bCs/>
        </w:rPr>
        <w:t>Distributors Settlement Agreement and any and all documents ancillary thereto.</w:t>
      </w:r>
    </w:p>
    <w:p w14:paraId="3B7976B2" w14:textId="3DCB6986" w:rsidR="00250A01" w:rsidRDefault="00250A01" w:rsidP="00250A01">
      <w:pPr>
        <w:ind w:left="1440" w:hanging="720"/>
        <w:jc w:val="both"/>
        <w:rPr>
          <w:bCs/>
        </w:rPr>
      </w:pPr>
    </w:p>
    <w:p w14:paraId="3F9C11DF" w14:textId="296CFC13" w:rsidR="00250A01" w:rsidRDefault="00250A01" w:rsidP="00250A01">
      <w:pPr>
        <w:ind w:left="1440" w:hanging="720"/>
        <w:jc w:val="both"/>
        <w:rPr>
          <w:bCs/>
        </w:rPr>
      </w:pPr>
      <w:r>
        <w:rPr>
          <w:bCs/>
        </w:rPr>
        <w:t>2.</w:t>
      </w:r>
      <w:r>
        <w:rPr>
          <w:bCs/>
        </w:rPr>
        <w:tab/>
        <w:t xml:space="preserve">The execution of the </w:t>
      </w:r>
      <w:r w:rsidR="00FA5935">
        <w:rPr>
          <w:bCs/>
        </w:rPr>
        <w:t xml:space="preserve">Participation Agreement to the </w:t>
      </w:r>
      <w:r>
        <w:rPr>
          <w:bCs/>
        </w:rPr>
        <w:t>Janssen Settlement Agreement and any and all documents ancillary thereto</w:t>
      </w:r>
      <w:r w:rsidR="00FA5935">
        <w:rPr>
          <w:bCs/>
        </w:rPr>
        <w:t>.</w:t>
      </w:r>
    </w:p>
    <w:p w14:paraId="274BEEF5" w14:textId="271AE8F3" w:rsidR="00250A01" w:rsidRDefault="00250A01" w:rsidP="00250A01">
      <w:pPr>
        <w:ind w:left="1440" w:hanging="720"/>
        <w:jc w:val="both"/>
        <w:rPr>
          <w:bCs/>
        </w:rPr>
      </w:pPr>
    </w:p>
    <w:p w14:paraId="4E6771BE" w14:textId="15AA8CBC" w:rsidR="00250A01" w:rsidRDefault="00250A01" w:rsidP="00250A01">
      <w:pPr>
        <w:ind w:left="1440" w:hanging="720"/>
        <w:jc w:val="both"/>
        <w:rPr>
          <w:bCs/>
        </w:rPr>
      </w:pPr>
      <w:r>
        <w:rPr>
          <w:bCs/>
        </w:rPr>
        <w:t>3.</w:t>
      </w:r>
      <w:r>
        <w:rPr>
          <w:bCs/>
        </w:rPr>
        <w:tab/>
        <w:t xml:space="preserve">The execution of the Allocation MOU </w:t>
      </w:r>
      <w:r w:rsidR="00954434">
        <w:rPr>
          <w:bCs/>
        </w:rPr>
        <w:t xml:space="preserve">by </w:t>
      </w:r>
      <w:r w:rsidR="00717680">
        <w:rPr>
          <w:bCs/>
        </w:rPr>
        <w:t xml:space="preserve">executing </w:t>
      </w:r>
      <w:r w:rsidR="00974F55" w:rsidRPr="00974F55">
        <w:rPr>
          <w:bCs/>
        </w:rPr>
        <w:t>the Acknowledgement and Agreement to be Boun</w:t>
      </w:r>
      <w:r w:rsidR="00974F55">
        <w:rPr>
          <w:bCs/>
        </w:rPr>
        <w:t>d</w:t>
      </w:r>
      <w:r w:rsidR="00974F55" w:rsidRPr="00974F55">
        <w:rPr>
          <w:bCs/>
        </w:rPr>
        <w:t xml:space="preserve"> to Memorandum of Understanding</w:t>
      </w:r>
      <w:r w:rsidR="00717680">
        <w:rPr>
          <w:bCs/>
        </w:rPr>
        <w:t>.</w:t>
      </w:r>
    </w:p>
    <w:p w14:paraId="7469A828" w14:textId="14650277" w:rsidR="00250A01" w:rsidRDefault="00250A01" w:rsidP="00250A01">
      <w:pPr>
        <w:ind w:left="1440" w:hanging="720"/>
        <w:jc w:val="both"/>
        <w:rPr>
          <w:bCs/>
        </w:rPr>
      </w:pPr>
    </w:p>
    <w:p w14:paraId="737C0B2B" w14:textId="7B8B9A50" w:rsidR="00F76DE8" w:rsidRPr="00E278FB" w:rsidRDefault="00F76DE8" w:rsidP="00F76DE8">
      <w:pPr>
        <w:ind w:firstLine="720"/>
        <w:jc w:val="both"/>
        <w:rPr>
          <w:bCs/>
        </w:rPr>
      </w:pPr>
      <w:r>
        <w:rPr>
          <w:b/>
          <w:bCs/>
        </w:rPr>
        <w:t>BE IT FURTHER RESOLVED:</w:t>
      </w:r>
      <w:r>
        <w:rPr>
          <w:bCs/>
        </w:rPr>
        <w:t xml:space="preserve">  the County hereby establishes an account separate and distinct from the County’s general fund which shall be titled “</w:t>
      </w:r>
      <w:r w:rsidR="002022F1">
        <w:rPr>
          <w:bCs/>
        </w:rPr>
        <w:t>LG Abatement Fund</w:t>
      </w:r>
      <w:r>
        <w:rPr>
          <w:bCs/>
        </w:rPr>
        <w:t>”</w:t>
      </w:r>
      <w:r w:rsidR="00446A38">
        <w:rPr>
          <w:bCs/>
        </w:rPr>
        <w:t xml:space="preserve"> to receive the </w:t>
      </w:r>
      <w:r w:rsidR="00A337AE">
        <w:rPr>
          <w:bCs/>
        </w:rPr>
        <w:t>LG Abatement Share</w:t>
      </w:r>
      <w:r w:rsidR="00446A38">
        <w:rPr>
          <w:bCs/>
        </w:rPr>
        <w:t xml:space="preserve"> from the Settlement Agreements</w:t>
      </w:r>
      <w:proofErr w:type="gramStart"/>
      <w:r w:rsidR="00446A38">
        <w:rPr>
          <w:bCs/>
        </w:rPr>
        <w:t>.</w:t>
      </w:r>
      <w:r>
        <w:rPr>
          <w:bCs/>
        </w:rPr>
        <w:t xml:space="preserve">  </w:t>
      </w:r>
      <w:proofErr w:type="gramEnd"/>
    </w:p>
    <w:p w14:paraId="0652CB19" w14:textId="77777777" w:rsidR="00F76DE8" w:rsidRPr="00E278FB" w:rsidRDefault="00F76DE8" w:rsidP="00446A38">
      <w:pPr>
        <w:jc w:val="both"/>
      </w:pPr>
    </w:p>
    <w:p w14:paraId="31463348" w14:textId="116BDB91" w:rsidR="00F76DE8" w:rsidRPr="00E278FB" w:rsidRDefault="00F76DE8" w:rsidP="00F76DE8">
      <w:pPr>
        <w:tabs>
          <w:tab w:val="num" w:pos="2160"/>
        </w:tabs>
        <w:autoSpaceDE w:val="0"/>
        <w:autoSpaceDN w:val="0"/>
        <w:adjustRightInd w:val="0"/>
        <w:ind w:firstLine="720"/>
        <w:jc w:val="both"/>
        <w:outlineLvl w:val="0"/>
        <w:rPr>
          <w:rFonts w:eastAsia="Times New Roman"/>
          <w:bCs/>
        </w:rPr>
      </w:pPr>
      <w:r w:rsidRPr="00E278FB">
        <w:rPr>
          <w:b/>
          <w:bCs/>
        </w:rPr>
        <w:t>BE IT FURTHER RESOLVED</w:t>
      </w:r>
      <w:r w:rsidRPr="00E278FB">
        <w:rPr>
          <w:bCs/>
        </w:rPr>
        <w:t xml:space="preserve"> </w:t>
      </w:r>
      <w:r w:rsidRPr="00E278FB">
        <w:rPr>
          <w:rFonts w:eastAsia="Times New Roman"/>
          <w:bCs/>
        </w:rPr>
        <w:t xml:space="preserve">that all actions heretofore taken by the Board of </w:t>
      </w:r>
      <w:r w:rsidR="00FE7D76">
        <w:rPr>
          <w:rFonts w:eastAsia="Times New Roman"/>
          <w:bCs/>
        </w:rPr>
        <w:t>Supervisors</w:t>
      </w:r>
      <w:r w:rsidRPr="00E278FB">
        <w:rPr>
          <w:rFonts w:eastAsia="Times New Roman"/>
          <w:bCs/>
        </w:rPr>
        <w:t xml:space="preserve"> and other appropriate public officers and agents of the County with respect to the matters contemplated under this Resolution are hereby ratified, confirmed and approved.</w:t>
      </w:r>
    </w:p>
    <w:p w14:paraId="22B73AD1" w14:textId="77777777" w:rsidR="00FA5935" w:rsidRDefault="00FA5935" w:rsidP="00EA2D5D">
      <w:pPr>
        <w:tabs>
          <w:tab w:val="num" w:pos="2160"/>
        </w:tabs>
        <w:autoSpaceDE w:val="0"/>
        <w:autoSpaceDN w:val="0"/>
        <w:adjustRightInd w:val="0"/>
        <w:jc w:val="both"/>
        <w:outlineLvl w:val="0"/>
        <w:rPr>
          <w:b/>
          <w:bCs/>
        </w:rPr>
      </w:pPr>
    </w:p>
    <w:p w14:paraId="0B8068F4" w14:textId="58470885" w:rsidR="005A0095" w:rsidRDefault="005A0095" w:rsidP="00343FEE">
      <w:pPr>
        <w:tabs>
          <w:tab w:val="num" w:pos="2160"/>
        </w:tabs>
        <w:autoSpaceDE w:val="0"/>
        <w:autoSpaceDN w:val="0"/>
        <w:adjustRightInd w:val="0"/>
        <w:ind w:firstLine="720"/>
        <w:jc w:val="both"/>
        <w:outlineLvl w:val="0"/>
      </w:pPr>
    </w:p>
    <w:p w14:paraId="02CA7D3E" w14:textId="48B09709" w:rsidR="009D3988" w:rsidRDefault="005A0095" w:rsidP="005A0095">
      <w:pPr>
        <w:tabs>
          <w:tab w:val="num" w:pos="2160"/>
        </w:tabs>
        <w:autoSpaceDE w:val="0"/>
        <w:autoSpaceDN w:val="0"/>
        <w:adjustRightInd w:val="0"/>
        <w:jc w:val="both"/>
        <w:outlineLvl w:val="0"/>
      </w:pPr>
      <w:r>
        <w:t xml:space="preserve">Adopted by the </w:t>
      </w:r>
      <w:r w:rsidR="00CF11B1">
        <w:t>_______</w:t>
      </w:r>
      <w:r>
        <w:t xml:space="preserve"> County Board of </w:t>
      </w:r>
      <w:r w:rsidR="00FE7D76">
        <w:t>Supervisors</w:t>
      </w:r>
      <w:r>
        <w:t xml:space="preserve"> this </w:t>
      </w:r>
      <w:r w:rsidR="00C92021">
        <w:t>17th</w:t>
      </w:r>
      <w:r>
        <w:t xml:space="preserve"> day of </w:t>
      </w:r>
      <w:proofErr w:type="gramStart"/>
      <w:r w:rsidR="00C92021">
        <w:t>November,</w:t>
      </w:r>
      <w:proofErr w:type="gramEnd"/>
      <w:r w:rsidR="00C92021">
        <w:t xml:space="preserve"> </w:t>
      </w:r>
      <w:r>
        <w:t>2021.</w:t>
      </w:r>
    </w:p>
    <w:p w14:paraId="2D336461" w14:textId="77777777" w:rsidR="009D3988" w:rsidRDefault="009D3988" w:rsidP="005A0095">
      <w:pPr>
        <w:tabs>
          <w:tab w:val="num" w:pos="2160"/>
        </w:tabs>
        <w:autoSpaceDE w:val="0"/>
        <w:autoSpaceDN w:val="0"/>
        <w:adjustRightInd w:val="0"/>
        <w:jc w:val="both"/>
        <w:outlineLvl w:val="0"/>
      </w:pPr>
    </w:p>
    <w:p w14:paraId="279EA134" w14:textId="77777777" w:rsidR="009D3988" w:rsidRDefault="009D3988" w:rsidP="005A0095">
      <w:pPr>
        <w:tabs>
          <w:tab w:val="num" w:pos="2160"/>
        </w:tabs>
        <w:autoSpaceDE w:val="0"/>
        <w:autoSpaceDN w:val="0"/>
        <w:adjustRightInd w:val="0"/>
        <w:jc w:val="both"/>
        <w:outlineLvl w:val="0"/>
      </w:pPr>
    </w:p>
    <w:p w14:paraId="0B9B08B5" w14:textId="6C2FF037" w:rsidR="009D3988" w:rsidRDefault="009D3988" w:rsidP="005A0095">
      <w:pPr>
        <w:tabs>
          <w:tab w:val="num" w:pos="2160"/>
        </w:tabs>
        <w:autoSpaceDE w:val="0"/>
        <w:autoSpaceDN w:val="0"/>
        <w:adjustRightInd w:val="0"/>
        <w:jc w:val="both"/>
        <w:outlineLvl w:val="0"/>
      </w:pPr>
      <w:r>
        <w:t>___________________________________</w:t>
      </w:r>
    </w:p>
    <w:p w14:paraId="55A9BFCD" w14:textId="7B73F81D" w:rsidR="009D3988" w:rsidRDefault="009D3988" w:rsidP="005A0095">
      <w:pPr>
        <w:tabs>
          <w:tab w:val="num" w:pos="2160"/>
        </w:tabs>
        <w:autoSpaceDE w:val="0"/>
        <w:autoSpaceDN w:val="0"/>
        <w:adjustRightInd w:val="0"/>
        <w:jc w:val="both"/>
        <w:outlineLvl w:val="0"/>
      </w:pPr>
      <w:r>
        <w:lastRenderedPageBreak/>
        <w:t>Board Chair</w:t>
      </w:r>
    </w:p>
    <w:p w14:paraId="047B8F34" w14:textId="1331800E" w:rsidR="005A0095" w:rsidRDefault="005A0095" w:rsidP="005A0095">
      <w:pPr>
        <w:tabs>
          <w:tab w:val="num" w:pos="2160"/>
        </w:tabs>
        <w:autoSpaceDE w:val="0"/>
        <w:autoSpaceDN w:val="0"/>
        <w:adjustRightInd w:val="0"/>
        <w:jc w:val="both"/>
        <w:outlineLvl w:val="0"/>
      </w:pPr>
    </w:p>
    <w:p w14:paraId="6D0A5B78" w14:textId="41640840" w:rsidR="005A0095" w:rsidRDefault="005A0095" w:rsidP="005A0095">
      <w:pPr>
        <w:tabs>
          <w:tab w:val="num" w:pos="2160"/>
        </w:tabs>
        <w:autoSpaceDE w:val="0"/>
        <w:autoSpaceDN w:val="0"/>
        <w:adjustRightInd w:val="0"/>
        <w:jc w:val="both"/>
        <w:outlineLvl w:val="0"/>
      </w:pPr>
    </w:p>
    <w:p w14:paraId="359D4A41" w14:textId="6E3672A2" w:rsidR="005A0095" w:rsidRDefault="005A0095" w:rsidP="005A0095">
      <w:pPr>
        <w:tabs>
          <w:tab w:val="num" w:pos="2160"/>
        </w:tabs>
        <w:autoSpaceDE w:val="0"/>
        <w:autoSpaceDN w:val="0"/>
        <w:adjustRightInd w:val="0"/>
        <w:jc w:val="both"/>
        <w:outlineLvl w:val="0"/>
      </w:pPr>
    </w:p>
    <w:p w14:paraId="2B0263DA" w14:textId="760A00BB" w:rsidR="009D3988" w:rsidRDefault="009D3988" w:rsidP="005A0095">
      <w:pPr>
        <w:tabs>
          <w:tab w:val="num" w:pos="2160"/>
        </w:tabs>
        <w:autoSpaceDE w:val="0"/>
        <w:autoSpaceDN w:val="0"/>
        <w:adjustRightInd w:val="0"/>
        <w:jc w:val="both"/>
        <w:outlineLvl w:val="0"/>
      </w:pPr>
      <w:r>
        <w:t>ATTEST:</w:t>
      </w:r>
    </w:p>
    <w:p w14:paraId="15BD6AA7" w14:textId="77777777" w:rsidR="009D3988" w:rsidRDefault="009D3988" w:rsidP="005A0095">
      <w:pPr>
        <w:tabs>
          <w:tab w:val="num" w:pos="2160"/>
        </w:tabs>
        <w:autoSpaceDE w:val="0"/>
        <w:autoSpaceDN w:val="0"/>
        <w:adjustRightInd w:val="0"/>
        <w:jc w:val="both"/>
        <w:outlineLvl w:val="0"/>
      </w:pPr>
    </w:p>
    <w:p w14:paraId="1EB154F3" w14:textId="77777777" w:rsidR="009D3988" w:rsidRDefault="009D3988" w:rsidP="005A0095">
      <w:pPr>
        <w:tabs>
          <w:tab w:val="num" w:pos="2160"/>
        </w:tabs>
        <w:autoSpaceDE w:val="0"/>
        <w:autoSpaceDN w:val="0"/>
        <w:adjustRightInd w:val="0"/>
        <w:jc w:val="both"/>
        <w:outlineLvl w:val="0"/>
      </w:pPr>
    </w:p>
    <w:p w14:paraId="14149E4F" w14:textId="77777777" w:rsidR="009D3988" w:rsidRDefault="009D3988" w:rsidP="005A0095">
      <w:pPr>
        <w:tabs>
          <w:tab w:val="num" w:pos="2160"/>
        </w:tabs>
        <w:autoSpaceDE w:val="0"/>
        <w:autoSpaceDN w:val="0"/>
        <w:adjustRightInd w:val="0"/>
        <w:jc w:val="both"/>
        <w:outlineLvl w:val="0"/>
      </w:pPr>
    </w:p>
    <w:p w14:paraId="39D89495" w14:textId="01D77DE8" w:rsidR="005A0095" w:rsidRDefault="005A0095" w:rsidP="005A0095">
      <w:pPr>
        <w:tabs>
          <w:tab w:val="num" w:pos="2160"/>
        </w:tabs>
        <w:autoSpaceDE w:val="0"/>
        <w:autoSpaceDN w:val="0"/>
        <w:adjustRightInd w:val="0"/>
        <w:jc w:val="both"/>
        <w:outlineLvl w:val="0"/>
      </w:pPr>
      <w:r>
        <w:t>___________________________________</w:t>
      </w:r>
    </w:p>
    <w:p w14:paraId="4305D212" w14:textId="7B7B6314" w:rsidR="005A0095" w:rsidRPr="00890DC3" w:rsidRDefault="005A0095" w:rsidP="005A0095">
      <w:pPr>
        <w:tabs>
          <w:tab w:val="num" w:pos="2160"/>
        </w:tabs>
        <w:autoSpaceDE w:val="0"/>
        <w:autoSpaceDN w:val="0"/>
        <w:adjustRightInd w:val="0"/>
        <w:jc w:val="both"/>
        <w:outlineLvl w:val="0"/>
      </w:pPr>
      <w:r>
        <w:t>County Clerk</w:t>
      </w:r>
    </w:p>
    <w:p w14:paraId="05616546" w14:textId="77777777" w:rsidR="00343FEE" w:rsidRPr="00890DC3" w:rsidRDefault="00343FEE" w:rsidP="0083587E">
      <w:pPr>
        <w:jc w:val="both"/>
      </w:pPr>
    </w:p>
    <w:p w14:paraId="0476DCF7" w14:textId="77777777" w:rsidR="0083587E" w:rsidRPr="00890DC3" w:rsidRDefault="0083587E" w:rsidP="009C04BD"/>
    <w:p w14:paraId="5F079B7D" w14:textId="77777777" w:rsidR="00DC156E" w:rsidRPr="00890DC3" w:rsidRDefault="00DC156E" w:rsidP="009C04BD"/>
    <w:p w14:paraId="41E4E73F" w14:textId="77777777" w:rsidR="00DC156E" w:rsidRPr="00890DC3" w:rsidRDefault="00DC156E" w:rsidP="009C04BD"/>
    <w:p w14:paraId="058837C1" w14:textId="77777777" w:rsidR="00DC156E" w:rsidRPr="00890DC3" w:rsidRDefault="00DC156E" w:rsidP="009C04BD"/>
    <w:sectPr w:rsidR="00DC156E" w:rsidRPr="00890DC3" w:rsidSect="00A92994">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5CA4" w14:textId="77777777" w:rsidR="008213AE" w:rsidRDefault="008213AE" w:rsidP="00A92994">
      <w:r>
        <w:separator/>
      </w:r>
    </w:p>
  </w:endnote>
  <w:endnote w:type="continuationSeparator" w:id="0">
    <w:p w14:paraId="70E6B076" w14:textId="77777777" w:rsidR="008213AE" w:rsidRDefault="008213AE" w:rsidP="00A9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626596"/>
      <w:docPartObj>
        <w:docPartGallery w:val="Page Numbers (Bottom of Page)"/>
        <w:docPartUnique/>
      </w:docPartObj>
    </w:sdtPr>
    <w:sdtEndPr>
      <w:rPr>
        <w:noProof/>
      </w:rPr>
    </w:sdtEndPr>
    <w:sdtContent>
      <w:p w14:paraId="59A1AF2E" w14:textId="01367DCA" w:rsidR="00A92994" w:rsidRDefault="00A92994">
        <w:pPr>
          <w:pStyle w:val="Footer"/>
          <w:jc w:val="center"/>
        </w:pPr>
        <w:r>
          <w:fldChar w:fldCharType="begin"/>
        </w:r>
        <w:r>
          <w:instrText xml:space="preserve"> PAGE   \* MERGEFORMAT </w:instrText>
        </w:r>
        <w:r>
          <w:fldChar w:fldCharType="separate"/>
        </w:r>
        <w:r w:rsidR="009D3988">
          <w:rPr>
            <w:noProof/>
          </w:rPr>
          <w:t>2</w:t>
        </w:r>
        <w:r>
          <w:rPr>
            <w:noProof/>
          </w:rPr>
          <w:fldChar w:fldCharType="end"/>
        </w:r>
      </w:p>
    </w:sdtContent>
  </w:sdt>
  <w:p w14:paraId="2ACA6901" w14:textId="77777777" w:rsidR="00A92994" w:rsidRDefault="00A92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5E5C" w14:textId="77777777" w:rsidR="008213AE" w:rsidRDefault="008213AE" w:rsidP="00A92994">
      <w:r>
        <w:separator/>
      </w:r>
    </w:p>
  </w:footnote>
  <w:footnote w:type="continuationSeparator" w:id="0">
    <w:p w14:paraId="6907245F" w14:textId="77777777" w:rsidR="008213AE" w:rsidRDefault="008213AE" w:rsidP="00A92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21D"/>
    <w:multiLevelType w:val="hybridMultilevel"/>
    <w:tmpl w:val="847C3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6978B1"/>
    <w:multiLevelType w:val="hybridMultilevel"/>
    <w:tmpl w:val="847C32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BD"/>
    <w:rsid w:val="00001589"/>
    <w:rsid w:val="00012596"/>
    <w:rsid w:val="00021136"/>
    <w:rsid w:val="0003430D"/>
    <w:rsid w:val="000428C9"/>
    <w:rsid w:val="000541BA"/>
    <w:rsid w:val="00054549"/>
    <w:rsid w:val="00056029"/>
    <w:rsid w:val="00061DD5"/>
    <w:rsid w:val="0007362C"/>
    <w:rsid w:val="0007389F"/>
    <w:rsid w:val="00074C06"/>
    <w:rsid w:val="00082DE1"/>
    <w:rsid w:val="000A0813"/>
    <w:rsid w:val="000A435D"/>
    <w:rsid w:val="000B6F04"/>
    <w:rsid w:val="000B72A6"/>
    <w:rsid w:val="000D196C"/>
    <w:rsid w:val="000D283D"/>
    <w:rsid w:val="000D4864"/>
    <w:rsid w:val="000D6CEC"/>
    <w:rsid w:val="000E29C5"/>
    <w:rsid w:val="000E40E2"/>
    <w:rsid w:val="000E5B4B"/>
    <w:rsid w:val="000E7513"/>
    <w:rsid w:val="000E7EC8"/>
    <w:rsid w:val="000F6654"/>
    <w:rsid w:val="00100E25"/>
    <w:rsid w:val="00101025"/>
    <w:rsid w:val="00103A00"/>
    <w:rsid w:val="0011313B"/>
    <w:rsid w:val="001314CD"/>
    <w:rsid w:val="00131D34"/>
    <w:rsid w:val="00132CBC"/>
    <w:rsid w:val="00133A80"/>
    <w:rsid w:val="001340F7"/>
    <w:rsid w:val="001428A8"/>
    <w:rsid w:val="00147321"/>
    <w:rsid w:val="00160E78"/>
    <w:rsid w:val="0016320A"/>
    <w:rsid w:val="001741FA"/>
    <w:rsid w:val="001A0F8A"/>
    <w:rsid w:val="001A4618"/>
    <w:rsid w:val="001B50F9"/>
    <w:rsid w:val="001C38D5"/>
    <w:rsid w:val="001C49D0"/>
    <w:rsid w:val="001D69EF"/>
    <w:rsid w:val="001E20E9"/>
    <w:rsid w:val="001E7090"/>
    <w:rsid w:val="001F214A"/>
    <w:rsid w:val="0020033A"/>
    <w:rsid w:val="002022F1"/>
    <w:rsid w:val="00236D87"/>
    <w:rsid w:val="00242FFA"/>
    <w:rsid w:val="00247228"/>
    <w:rsid w:val="00250A01"/>
    <w:rsid w:val="002515D9"/>
    <w:rsid w:val="00276DFE"/>
    <w:rsid w:val="00283470"/>
    <w:rsid w:val="0028701D"/>
    <w:rsid w:val="0028780A"/>
    <w:rsid w:val="00295296"/>
    <w:rsid w:val="002B1FC0"/>
    <w:rsid w:val="002B399F"/>
    <w:rsid w:val="002C2AFF"/>
    <w:rsid w:val="002D3A87"/>
    <w:rsid w:val="002E018C"/>
    <w:rsid w:val="002E53D7"/>
    <w:rsid w:val="002F0940"/>
    <w:rsid w:val="00314D94"/>
    <w:rsid w:val="00317302"/>
    <w:rsid w:val="003221CF"/>
    <w:rsid w:val="00343FEE"/>
    <w:rsid w:val="003568CD"/>
    <w:rsid w:val="003600BD"/>
    <w:rsid w:val="003612B5"/>
    <w:rsid w:val="00396D20"/>
    <w:rsid w:val="00397C39"/>
    <w:rsid w:val="003C045C"/>
    <w:rsid w:val="003D6DC7"/>
    <w:rsid w:val="003E3DD0"/>
    <w:rsid w:val="003F350D"/>
    <w:rsid w:val="003F774C"/>
    <w:rsid w:val="00400135"/>
    <w:rsid w:val="00416EEE"/>
    <w:rsid w:val="00420678"/>
    <w:rsid w:val="00424F13"/>
    <w:rsid w:val="00446583"/>
    <w:rsid w:val="00446A38"/>
    <w:rsid w:val="00457829"/>
    <w:rsid w:val="004669C7"/>
    <w:rsid w:val="00471A89"/>
    <w:rsid w:val="00471B77"/>
    <w:rsid w:val="00471D83"/>
    <w:rsid w:val="00473BB3"/>
    <w:rsid w:val="00480073"/>
    <w:rsid w:val="004860F8"/>
    <w:rsid w:val="00490AB5"/>
    <w:rsid w:val="00493654"/>
    <w:rsid w:val="004A32A2"/>
    <w:rsid w:val="004B2FAD"/>
    <w:rsid w:val="004B34CD"/>
    <w:rsid w:val="004B7748"/>
    <w:rsid w:val="004B7985"/>
    <w:rsid w:val="004E6B73"/>
    <w:rsid w:val="005067CD"/>
    <w:rsid w:val="00513F20"/>
    <w:rsid w:val="0051744C"/>
    <w:rsid w:val="005360F2"/>
    <w:rsid w:val="00537607"/>
    <w:rsid w:val="00553A6D"/>
    <w:rsid w:val="00560F7A"/>
    <w:rsid w:val="00564539"/>
    <w:rsid w:val="00566C24"/>
    <w:rsid w:val="005805D3"/>
    <w:rsid w:val="00583312"/>
    <w:rsid w:val="00584078"/>
    <w:rsid w:val="00587D83"/>
    <w:rsid w:val="005A0095"/>
    <w:rsid w:val="005B097F"/>
    <w:rsid w:val="005B23AC"/>
    <w:rsid w:val="005D3F99"/>
    <w:rsid w:val="005F6459"/>
    <w:rsid w:val="005F6805"/>
    <w:rsid w:val="0060306E"/>
    <w:rsid w:val="00604DB9"/>
    <w:rsid w:val="006106E7"/>
    <w:rsid w:val="00610BB5"/>
    <w:rsid w:val="00611461"/>
    <w:rsid w:val="00620E15"/>
    <w:rsid w:val="00635240"/>
    <w:rsid w:val="0063579A"/>
    <w:rsid w:val="00646610"/>
    <w:rsid w:val="0064674E"/>
    <w:rsid w:val="00647E94"/>
    <w:rsid w:val="00651388"/>
    <w:rsid w:val="00652ED6"/>
    <w:rsid w:val="00661CB0"/>
    <w:rsid w:val="00672133"/>
    <w:rsid w:val="006727B6"/>
    <w:rsid w:val="006751E1"/>
    <w:rsid w:val="00684960"/>
    <w:rsid w:val="00694C27"/>
    <w:rsid w:val="00697252"/>
    <w:rsid w:val="006A27C1"/>
    <w:rsid w:val="006B0D40"/>
    <w:rsid w:val="006C51EE"/>
    <w:rsid w:val="006E26DC"/>
    <w:rsid w:val="006E3904"/>
    <w:rsid w:val="006E5290"/>
    <w:rsid w:val="006E5AE5"/>
    <w:rsid w:val="006F0DCD"/>
    <w:rsid w:val="006F19D8"/>
    <w:rsid w:val="006F4C7F"/>
    <w:rsid w:val="00704DCE"/>
    <w:rsid w:val="00717680"/>
    <w:rsid w:val="00725ED4"/>
    <w:rsid w:val="00731347"/>
    <w:rsid w:val="007361C9"/>
    <w:rsid w:val="00740021"/>
    <w:rsid w:val="0074111F"/>
    <w:rsid w:val="00754B79"/>
    <w:rsid w:val="007654A4"/>
    <w:rsid w:val="0077769F"/>
    <w:rsid w:val="00782F8F"/>
    <w:rsid w:val="00791637"/>
    <w:rsid w:val="007A29EB"/>
    <w:rsid w:val="007B6619"/>
    <w:rsid w:val="007B7835"/>
    <w:rsid w:val="007C109D"/>
    <w:rsid w:val="007C11E1"/>
    <w:rsid w:val="007C2BFB"/>
    <w:rsid w:val="007D13C8"/>
    <w:rsid w:val="007D26EC"/>
    <w:rsid w:val="007E02A1"/>
    <w:rsid w:val="007E1905"/>
    <w:rsid w:val="007E33E6"/>
    <w:rsid w:val="007F37D0"/>
    <w:rsid w:val="007F66AA"/>
    <w:rsid w:val="00801609"/>
    <w:rsid w:val="008213AE"/>
    <w:rsid w:val="00824F49"/>
    <w:rsid w:val="00831271"/>
    <w:rsid w:val="00833469"/>
    <w:rsid w:val="00833D83"/>
    <w:rsid w:val="0083587E"/>
    <w:rsid w:val="00845DD8"/>
    <w:rsid w:val="00870C66"/>
    <w:rsid w:val="00890DC3"/>
    <w:rsid w:val="0089136A"/>
    <w:rsid w:val="008A297F"/>
    <w:rsid w:val="008B4516"/>
    <w:rsid w:val="008D2746"/>
    <w:rsid w:val="008D5D36"/>
    <w:rsid w:val="008E5707"/>
    <w:rsid w:val="008E65A1"/>
    <w:rsid w:val="008E6B00"/>
    <w:rsid w:val="008E7BBC"/>
    <w:rsid w:val="00900F3E"/>
    <w:rsid w:val="009047E7"/>
    <w:rsid w:val="00916CA1"/>
    <w:rsid w:val="00930198"/>
    <w:rsid w:val="00936AC7"/>
    <w:rsid w:val="00937251"/>
    <w:rsid w:val="009424F5"/>
    <w:rsid w:val="00945F3A"/>
    <w:rsid w:val="00954434"/>
    <w:rsid w:val="00954C18"/>
    <w:rsid w:val="00974F55"/>
    <w:rsid w:val="0097723B"/>
    <w:rsid w:val="0099302D"/>
    <w:rsid w:val="00994C5B"/>
    <w:rsid w:val="009A227A"/>
    <w:rsid w:val="009A2D06"/>
    <w:rsid w:val="009B7894"/>
    <w:rsid w:val="009C04BD"/>
    <w:rsid w:val="009C11A0"/>
    <w:rsid w:val="009C7499"/>
    <w:rsid w:val="009D3988"/>
    <w:rsid w:val="009D3BAE"/>
    <w:rsid w:val="009D4518"/>
    <w:rsid w:val="009D4EB4"/>
    <w:rsid w:val="009D6733"/>
    <w:rsid w:val="009E08F3"/>
    <w:rsid w:val="009F029F"/>
    <w:rsid w:val="00A01F53"/>
    <w:rsid w:val="00A07453"/>
    <w:rsid w:val="00A078CA"/>
    <w:rsid w:val="00A1037F"/>
    <w:rsid w:val="00A16F9F"/>
    <w:rsid w:val="00A330D8"/>
    <w:rsid w:val="00A337AE"/>
    <w:rsid w:val="00A43CF1"/>
    <w:rsid w:val="00A43FD9"/>
    <w:rsid w:val="00A55E71"/>
    <w:rsid w:val="00A6359A"/>
    <w:rsid w:val="00A67289"/>
    <w:rsid w:val="00A71F32"/>
    <w:rsid w:val="00A857CA"/>
    <w:rsid w:val="00A92994"/>
    <w:rsid w:val="00AA4C2A"/>
    <w:rsid w:val="00AA65A6"/>
    <w:rsid w:val="00AA7339"/>
    <w:rsid w:val="00AC1A6F"/>
    <w:rsid w:val="00AD0021"/>
    <w:rsid w:val="00AD37EB"/>
    <w:rsid w:val="00AF657D"/>
    <w:rsid w:val="00B02A39"/>
    <w:rsid w:val="00B0684A"/>
    <w:rsid w:val="00B06B59"/>
    <w:rsid w:val="00B07DA7"/>
    <w:rsid w:val="00B159F1"/>
    <w:rsid w:val="00B2424D"/>
    <w:rsid w:val="00B479D8"/>
    <w:rsid w:val="00B53399"/>
    <w:rsid w:val="00B54AEA"/>
    <w:rsid w:val="00B85B19"/>
    <w:rsid w:val="00B92793"/>
    <w:rsid w:val="00B94AAF"/>
    <w:rsid w:val="00B9720C"/>
    <w:rsid w:val="00BC2B9F"/>
    <w:rsid w:val="00BE0749"/>
    <w:rsid w:val="00BE5567"/>
    <w:rsid w:val="00BF6FE6"/>
    <w:rsid w:val="00C15EEF"/>
    <w:rsid w:val="00C33B17"/>
    <w:rsid w:val="00C5398B"/>
    <w:rsid w:val="00C617A8"/>
    <w:rsid w:val="00C71262"/>
    <w:rsid w:val="00C76C1D"/>
    <w:rsid w:val="00C77340"/>
    <w:rsid w:val="00C854AB"/>
    <w:rsid w:val="00C90AB0"/>
    <w:rsid w:val="00C92021"/>
    <w:rsid w:val="00CA278B"/>
    <w:rsid w:val="00CC73C3"/>
    <w:rsid w:val="00CD4B8B"/>
    <w:rsid w:val="00CD7E7B"/>
    <w:rsid w:val="00CE0BC2"/>
    <w:rsid w:val="00CE39AF"/>
    <w:rsid w:val="00CF0484"/>
    <w:rsid w:val="00CF11B1"/>
    <w:rsid w:val="00CF24FF"/>
    <w:rsid w:val="00CF2B96"/>
    <w:rsid w:val="00D01A1D"/>
    <w:rsid w:val="00D06653"/>
    <w:rsid w:val="00D251B6"/>
    <w:rsid w:val="00D25717"/>
    <w:rsid w:val="00D35228"/>
    <w:rsid w:val="00D4213C"/>
    <w:rsid w:val="00D42D95"/>
    <w:rsid w:val="00D50CA8"/>
    <w:rsid w:val="00D54883"/>
    <w:rsid w:val="00D54C0D"/>
    <w:rsid w:val="00D60D32"/>
    <w:rsid w:val="00D71E8E"/>
    <w:rsid w:val="00D74EE2"/>
    <w:rsid w:val="00D8746F"/>
    <w:rsid w:val="00D94F97"/>
    <w:rsid w:val="00DC156E"/>
    <w:rsid w:val="00DD11BE"/>
    <w:rsid w:val="00DF3BA8"/>
    <w:rsid w:val="00E00845"/>
    <w:rsid w:val="00E04B08"/>
    <w:rsid w:val="00E10F8C"/>
    <w:rsid w:val="00E14215"/>
    <w:rsid w:val="00E20AD7"/>
    <w:rsid w:val="00E33F28"/>
    <w:rsid w:val="00E5089F"/>
    <w:rsid w:val="00E72AFF"/>
    <w:rsid w:val="00E740DB"/>
    <w:rsid w:val="00E744B3"/>
    <w:rsid w:val="00E8231A"/>
    <w:rsid w:val="00E84F48"/>
    <w:rsid w:val="00E85A48"/>
    <w:rsid w:val="00E95D3A"/>
    <w:rsid w:val="00E968F9"/>
    <w:rsid w:val="00EA2D5D"/>
    <w:rsid w:val="00EA6134"/>
    <w:rsid w:val="00EC21AE"/>
    <w:rsid w:val="00EC4560"/>
    <w:rsid w:val="00EE65E4"/>
    <w:rsid w:val="00F01072"/>
    <w:rsid w:val="00F0531F"/>
    <w:rsid w:val="00F153B8"/>
    <w:rsid w:val="00F16D9E"/>
    <w:rsid w:val="00F16F8C"/>
    <w:rsid w:val="00F432FC"/>
    <w:rsid w:val="00F47C04"/>
    <w:rsid w:val="00F67A47"/>
    <w:rsid w:val="00F76DE8"/>
    <w:rsid w:val="00F8128E"/>
    <w:rsid w:val="00F86F59"/>
    <w:rsid w:val="00FA19CC"/>
    <w:rsid w:val="00FA5935"/>
    <w:rsid w:val="00FA6C71"/>
    <w:rsid w:val="00FB338C"/>
    <w:rsid w:val="00FB5337"/>
    <w:rsid w:val="00FC281B"/>
    <w:rsid w:val="00FD62DC"/>
    <w:rsid w:val="00FE5373"/>
    <w:rsid w:val="00FE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17F04F"/>
  <w15:docId w15:val="{8AA0B587-463A-447D-A0CF-60F81A89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4BD"/>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12pt After"/>
    <w:qFormat/>
    <w:rsid w:val="00DC156E"/>
    <w:pPr>
      <w:spacing w:after="240" w:line="240" w:lineRule="auto"/>
      <w:jc w:val="both"/>
    </w:pPr>
    <w:rPr>
      <w:rFonts w:ascii="Times New Roman" w:eastAsiaTheme="minorEastAsia" w:hAnsi="Times New Roman"/>
      <w:color w:val="000000" w:themeColor="text1"/>
      <w:sz w:val="24"/>
      <w:lang w:bidi="en-US"/>
    </w:rPr>
  </w:style>
  <w:style w:type="paragraph" w:styleId="BalloonText">
    <w:name w:val="Balloon Text"/>
    <w:basedOn w:val="Normal"/>
    <w:link w:val="BalloonTextChar"/>
    <w:uiPriority w:val="99"/>
    <w:semiHidden/>
    <w:unhideWhenUsed/>
    <w:rsid w:val="00C33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B17"/>
    <w:rPr>
      <w:rFonts w:ascii="Segoe UI" w:hAnsi="Segoe UI" w:cs="Segoe UI"/>
      <w:sz w:val="18"/>
      <w:szCs w:val="18"/>
    </w:rPr>
  </w:style>
  <w:style w:type="paragraph" w:styleId="Header">
    <w:name w:val="header"/>
    <w:basedOn w:val="Normal"/>
    <w:link w:val="HeaderChar"/>
    <w:uiPriority w:val="99"/>
    <w:unhideWhenUsed/>
    <w:rsid w:val="00A92994"/>
    <w:pPr>
      <w:tabs>
        <w:tab w:val="center" w:pos="4680"/>
        <w:tab w:val="right" w:pos="9360"/>
      </w:tabs>
    </w:pPr>
  </w:style>
  <w:style w:type="character" w:customStyle="1" w:styleId="HeaderChar">
    <w:name w:val="Header Char"/>
    <w:basedOn w:val="DefaultParagraphFont"/>
    <w:link w:val="Header"/>
    <w:uiPriority w:val="99"/>
    <w:rsid w:val="00A92994"/>
    <w:rPr>
      <w:rFonts w:ascii="Times New Roman" w:hAnsi="Times New Roman" w:cs="Times New Roman"/>
      <w:sz w:val="24"/>
      <w:szCs w:val="24"/>
    </w:rPr>
  </w:style>
  <w:style w:type="paragraph" w:styleId="Footer">
    <w:name w:val="footer"/>
    <w:basedOn w:val="Normal"/>
    <w:link w:val="FooterChar"/>
    <w:uiPriority w:val="99"/>
    <w:unhideWhenUsed/>
    <w:rsid w:val="00A92994"/>
    <w:pPr>
      <w:tabs>
        <w:tab w:val="center" w:pos="4680"/>
        <w:tab w:val="right" w:pos="9360"/>
      </w:tabs>
    </w:pPr>
  </w:style>
  <w:style w:type="character" w:customStyle="1" w:styleId="FooterChar">
    <w:name w:val="Footer Char"/>
    <w:basedOn w:val="DefaultParagraphFont"/>
    <w:link w:val="Footer"/>
    <w:uiPriority w:val="99"/>
    <w:rsid w:val="00A92994"/>
    <w:rPr>
      <w:rFonts w:ascii="Times New Roman" w:hAnsi="Times New Roman" w:cs="Times New Roman"/>
      <w:sz w:val="24"/>
      <w:szCs w:val="24"/>
    </w:rPr>
  </w:style>
  <w:style w:type="paragraph" w:styleId="ListParagraph">
    <w:name w:val="List Paragraph"/>
    <w:basedOn w:val="Normal"/>
    <w:uiPriority w:val="34"/>
    <w:qFormat/>
    <w:rsid w:val="00BE5567"/>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5E848C5FE3F42A4B080A5C71423DD" ma:contentTypeVersion="13" ma:contentTypeDescription="Create a new document." ma:contentTypeScope="" ma:versionID="641a15d79f82c4d699a8e97a0421e095">
  <xsd:schema xmlns:xsd="http://www.w3.org/2001/XMLSchema" xmlns:xs="http://www.w3.org/2001/XMLSchema" xmlns:p="http://schemas.microsoft.com/office/2006/metadata/properties" xmlns:ns2="6a7dbcb4-3a3a-4bd8-9652-c7413d6b8667" xmlns:ns3="65808c20-3762-4318-b6e1-427dcbf02f31" targetNamespace="http://schemas.microsoft.com/office/2006/metadata/properties" ma:root="true" ma:fieldsID="25585e570503628aef5b3479c3670ef3" ns2:_="" ns3:_="">
    <xsd:import namespace="6a7dbcb4-3a3a-4bd8-9652-c7413d6b8667"/>
    <xsd:import namespace="65808c20-3762-4318-b6e1-427dcbf02f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dbcb4-3a3a-4bd8-9652-c7413d6b86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08c20-3762-4318-b6e1-427dcbf02f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448E9-BFE1-4D1A-B848-7ECCE23FE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421721-BBD4-4B77-9D73-0368BD4A725D}">
  <ds:schemaRefs>
    <ds:schemaRef ds:uri="http://schemas.microsoft.com/sharepoint/v3/contenttype/forms"/>
  </ds:schemaRefs>
</ds:datastoreItem>
</file>

<file path=customXml/itemProps3.xml><?xml version="1.0" encoding="utf-8"?>
<ds:datastoreItem xmlns:ds="http://schemas.openxmlformats.org/officeDocument/2006/customXml" ds:itemID="{5715F42C-A6AE-4105-9BD9-2AF2EDAF6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dbcb4-3a3a-4bd8-9652-c7413d6b8667"/>
    <ds:schemaRef ds:uri="65808c20-3762-4318-b6e1-427dcbf02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von Briesen</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J. Conard</dc:creator>
  <cp:keywords/>
  <dc:description/>
  <cp:lastModifiedBy>Erin Dickinson</cp:lastModifiedBy>
  <cp:revision>58</cp:revision>
  <cp:lastPrinted>2021-11-08T23:50:00Z</cp:lastPrinted>
  <dcterms:created xsi:type="dcterms:W3CDTF">2021-12-01T22:20:00Z</dcterms:created>
  <dcterms:modified xsi:type="dcterms:W3CDTF">2021-12-02T00:24:00Z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0x01010094A5E848C5FE3F42A4B080A5C71423DD</vt:lpwstr>
  </property>
</Properties>
</file>